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e"/>
        <w:tblW w:w="938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77"/>
        <w:gridCol w:w="4111"/>
        <w:gridCol w:w="2700"/>
      </w:tblGrid>
      <w:tr>
        <w:trPr/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493395" cy="619125"/>
                  <wp:effectExtent l="0" t="0" r="0" b="0"/>
                  <wp:docPr id="1" name="Рисунок 2" descr="111g2060_ussuriysk_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111g2060_ussuriysk_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250" w:hRule="atLeast"/>
        </w:trPr>
        <w:tc>
          <w:tcPr>
            <w:tcW w:w="93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АДМИНИСТРАЦИЯ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  <w:spacing w:val="17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УССУРИЙСКОГО ГОРОДСКОГО ОКРУГА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b/>
                <w:bCs/>
                <w:spacing w:val="17"/>
                <w:kern w:val="0"/>
                <w:sz w:val="28"/>
                <w:szCs w:val="28"/>
                <w:lang w:val="ru-RU" w:eastAsia="en-US" w:bidi="ar-SA"/>
              </w:rPr>
              <w:t>ПРИМОРСКОГО КРАЯ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Liberation Serif" w:hAnsi="Liberation Serif" w:cs="Liberation Serif"/>
                <w:b/>
                <w:b/>
                <w:bCs/>
              </w:rPr>
            </w:pPr>
            <w:r>
              <w:rPr>
                <w:rFonts w:eastAsia="Arial" w:cs="Liberation Serif" w:ascii="Liberation Serif" w:hAnsi="Liberation Serif"/>
                <w:spacing w:val="17"/>
                <w:kern w:val="0"/>
                <w:sz w:val="28"/>
                <w:szCs w:val="28"/>
                <w:lang w:val="ru-RU" w:eastAsia="en-US" w:bidi="ar-SA"/>
              </w:rPr>
              <w:t>ПОСТАНОВЛЕНИЕ</w:t>
            </w:r>
          </w:p>
        </w:tc>
      </w:tr>
      <w:tr>
        <w:trPr>
          <w:trHeight w:val="483" w:hRule="atLeast"/>
        </w:trPr>
        <w:tc>
          <w:tcPr>
            <w:tcW w:w="257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г. Уссурийск</w:t>
      </w:r>
    </w:p>
    <w:tbl>
      <w:tblPr>
        <w:tblStyle w:val="ae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77"/>
        <w:gridCol w:w="4676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placeholder>
                  <w:docPart w:val="c0b39d71d0c64aa5b8fbbc28cdf2d4ea"/>
                </w:placeholder>
              </w:sdtPr>
              <w:sdtContent>
                <w:r>
                  <w:rPr>
                    <w:rFonts w:eastAsia="Arial" w:cs="Liberation Serif" w:ascii="Liberation Serif" w:hAnsi="Liberation Serif" w:eastAsiaTheme="minorHAnsi"/>
                    <w:kern w:val="0"/>
                    <w:sz w:val="28"/>
                    <w:szCs w:val="28"/>
                    <w:shd w:fill="auto" w:val="clear"/>
                    <w:lang w:val="ru-RU" w:eastAsia="en-US" w:bidi="ar-SA"/>
                  </w:rPr>
                </w:r>
                <w:r>
                  <w:rPr>
                    <w:rFonts w:eastAsia="Arial" w:cs="Liberation Serif" w:ascii="Liberation Serif" w:hAnsi="Liberation Serif" w:eastAsiaTheme="minorHAnsi"/>
                    <w:kern w:val="0"/>
                    <w:sz w:val="28"/>
                    <w:szCs w:val="28"/>
                    <w:shd w:fill="auto" w:val="clear"/>
                    <w:lang w:val="ru-RU" w:eastAsia="en-US" w:bidi="ar-SA"/>
                  </w:rPr>
                  <w:t>О внесении изменений в постановление администрации Уссурийского городского округа от 15 декабря 2021 года № 2772-НПА "Об утверждении муниципальной программы "Развитие системы образования Уссурийского городского округа" на 2022-2027 годы</w:t>
                </w:r>
              </w:sdtContent>
            </w:sdt>
          </w:p>
        </w:tc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29 декабря 2012 года № 273-ФЗ «Об образовании в Российской Федерации», Законом Приморского края от 20 декабря  2022 года № 253-КЗ «О краевом бюджете на 2023 год и плановый период 2024 и 2025 годов», Законом Приморского края от 22 декабря 2023 года № 495-КЗ «О краевом бюджете на 2024 год и плановый период 2025 и 2026 годов», решением Думы Уссурийского городского округа от 20 декабря 2022 года № 779-НПА «О бюджете Уссурийского городского округа на 2023 год и плановый период 2024 и 2025 годов», статьями 31, 56 Устава Уссурийского городского округа, постановлением администрации Уссурийского городского округа от 31 марта 2015 года № 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уточнения мероприятий и объемов финансирования муниципальной программы</w:t>
      </w:r>
    </w:p>
    <w:p>
      <w:pPr>
        <w:pStyle w:val="Style16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ПОСТАНОВЛЯЕТ:</w:t>
      </w:r>
    </w:p>
    <w:p>
      <w:pPr>
        <w:pStyle w:val="Style16"/>
        <w:rPr>
          <w:rFonts w:ascii="Liberation Serif" w:hAnsi="Liberation Serif"/>
          <w:sz w:val="28"/>
          <w:szCs w:val="28"/>
        </w:rPr>
      </w:pPr>
      <w:r>
        <w:rPr/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 xml:space="preserve">1. Внести в постановление администрации Уссурийского городского округа от 15 декабря 2021 года №2772-НПА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</w:p>
    <w:p>
      <w:pPr>
        <w:pStyle w:val="Style16"/>
        <w:widowControl/>
        <w:tabs>
          <w:tab w:val="clear" w:pos="708"/>
          <w:tab w:val="left" w:pos="465" w:leader="none"/>
        </w:tabs>
        <w:bidi w:val="0"/>
        <w:spacing w:lineRule="auto" w:line="360" w:before="57" w:after="83"/>
        <w:ind w:left="0" w:right="0" w:firstLine="62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 </w:t>
      </w:r>
    </w:p>
    <w:p>
      <w:pPr>
        <w:pStyle w:val="Style16"/>
        <w:tabs>
          <w:tab w:val="clear" w:pos="708"/>
          <w:tab w:val="left" w:pos="650" w:leader="none"/>
        </w:tabs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а) в Паспорте Программы:</w:t>
      </w:r>
    </w:p>
    <w:p>
      <w:pPr>
        <w:pStyle w:val="Style16"/>
        <w:tabs>
          <w:tab w:val="clear" w:pos="708"/>
          <w:tab w:val="left" w:pos="650" w:leader="none"/>
        </w:tabs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 xml:space="preserve">раздел «Объем бюджетных ассигнований муниципальной программы  (с расшифровкой по годам и источникам финансирования) изложить в следующей редакции: </w:t>
      </w:r>
    </w:p>
    <w:p>
      <w:pPr>
        <w:pStyle w:val="Style16"/>
        <w:tabs>
          <w:tab w:val="clear" w:pos="708"/>
          <w:tab w:val="left" w:pos="650" w:leader="none"/>
        </w:tabs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</w:t>
      </w:r>
      <w:r>
        <w:rPr>
          <w:rFonts w:ascii="Liberation Serif" w:hAnsi="Liberation Serif"/>
          <w:sz w:val="28"/>
          <w:szCs w:val="28"/>
        </w:rPr>
        <w:t>«Общий объем бюджетных ассигнований Программы на 2022- 2027 годы составляет 26 884 873,42 тыс. рублей, в том числе: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местного бюджета 7 055 615,02 тыс. рублей, из них по годам: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1264541,49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1215128,04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1196590,43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1119784,31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1163214,31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1096356,44 тыс. рублей;</w:t>
      </w:r>
    </w:p>
    <w:p>
      <w:pPr>
        <w:pStyle w:val="Style16"/>
        <w:widowControl/>
        <w:suppressAutoHyphens w:val="true"/>
        <w:bidi w:val="0"/>
        <w:spacing w:lineRule="auto" w:line="360" w:before="57" w:after="83"/>
        <w:ind w:left="510" w:right="0" w:hanging="51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краевого бюджета 18 428 713,50 тыс. рублей, из них по годам: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2171665,85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2716214,88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4377077,89 тыс. рублей;</w:t>
      </w:r>
    </w:p>
    <w:p>
      <w:pPr>
        <w:pStyle w:val="Style16"/>
        <w:widowControl/>
        <w:bidi w:val="0"/>
        <w:spacing w:lineRule="auto" w:line="360" w:before="57" w:after="83"/>
        <w:ind w:left="51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3416377,48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3467415,03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2279962,37 тыс. рублей;</w:t>
      </w:r>
    </w:p>
    <w:p>
      <w:pPr>
        <w:pStyle w:val="Style16"/>
        <w:widowControl/>
        <w:suppressAutoHyphens w:val="true"/>
        <w:bidi w:val="0"/>
        <w:spacing w:lineRule="auto" w:line="360" w:before="57" w:after="83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средства федерального бюджета 1400544,90 тыс. рублей, из них по годам: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год – 213581,87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2023 год – 245514,96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2024 год – 244842,01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2025 год – 244842,01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2026 год – 245294,53 тыс. рублей;</w:t>
      </w:r>
    </w:p>
    <w:p>
      <w:pPr>
        <w:pStyle w:val="Style16"/>
        <w:widowControl/>
        <w:bidi w:val="0"/>
        <w:spacing w:lineRule="auto" w:line="360" w:before="57" w:after="83"/>
        <w:ind w:left="567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2027 год – 206469,52 тыс. рублей»;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б) в Программе: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 xml:space="preserve">в разделе </w:t>
      </w:r>
      <w:r>
        <w:rPr>
          <w:rFonts w:ascii="Liberation Serif" w:hAnsi="Liberation Serif"/>
          <w:sz w:val="28"/>
          <w:szCs w:val="28"/>
          <w:lang w:val="en-US"/>
        </w:rPr>
        <w:t>IV</w:t>
      </w:r>
      <w:r>
        <w:rPr>
          <w:rFonts w:ascii="Liberation Serif" w:hAnsi="Liberation Serif"/>
          <w:sz w:val="28"/>
          <w:szCs w:val="28"/>
        </w:rPr>
        <w:t>. «Перечень и краткое описание основных мероприятий муниципальной программы»:</w:t>
      </w:r>
    </w:p>
    <w:p>
      <w:pPr>
        <w:pStyle w:val="ConsPlusNormal"/>
        <w:spacing w:lineRule="auto" w:line="360"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</w:t>
      </w:r>
      <w:r>
        <w:rPr>
          <w:rFonts w:cs="Times New Roman" w:ascii="Liberation Serif" w:hAnsi="Liberation Serif"/>
          <w:sz w:val="28"/>
          <w:szCs w:val="28"/>
        </w:rPr>
        <w:t xml:space="preserve">в пункте 3.8 после слов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 xml:space="preserve"> в том числе </w:t>
      </w:r>
      <w:r>
        <w:rPr>
          <w:rFonts w:eastAsia="Arial" w:cs="Times New Roman" w:ascii="Times New Roman" w:hAnsi="Times New Roman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Крытая спортивная площадка (атлетический павильон)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Благоустройство территории МАОУ СОШ № 25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Универсальная спортивная площадка на территории МБОУ СОШ с. Степное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  точку заменить на запятую и дополнить следующим содержанием:</w:t>
      </w:r>
    </w:p>
    <w:p>
      <w:pPr>
        <w:pStyle w:val="ConsPlusNormal"/>
        <w:widowControl w:val="false"/>
        <w:suppressAutoHyphens w:val="true"/>
        <w:bidi w:val="0"/>
        <w:spacing w:lineRule="auto" w:line="360" w:before="220" w:after="0"/>
        <w:ind w:left="0" w:right="0" w:hanging="510"/>
        <w:jc w:val="both"/>
        <w:rPr>
          <w:rFonts w:ascii="Liberation Serif" w:hAnsi="Liberation Serif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    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 xml:space="preserve">Скажи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Да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 спорту!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 (МАОУ СОШ № 25),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Школьный сквер МБОУ СОШ № 32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, 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Асфальтирование территории МБОУ СОШ № 6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,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 xml:space="preserve">Создание спортивной площадки </w:t>
      </w:r>
      <w:r>
        <w:rPr>
          <w:rFonts w:eastAsia="Arial" w:cs="Times New Roman" w:ascii="Liberation Serif" w:hAnsi="Liberation Serif"/>
          <w:sz w:val="28"/>
          <w:szCs w:val="28"/>
        </w:rPr>
        <w:t>«</w:t>
      </w:r>
      <w:r>
        <w:rPr>
          <w:rFonts w:cs="Times New Roman" w:ascii="Liberation Serif" w:hAnsi="Liberation Serif"/>
          <w:sz w:val="28"/>
          <w:szCs w:val="28"/>
        </w:rPr>
        <w:t>5 шагов к успеху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 xml:space="preserve"> (МБОУ СОШ п. Тимирязевский)</w:t>
      </w:r>
      <w:r>
        <w:rPr>
          <w:rFonts w:eastAsia="Arial" w:cs="Times New Roman" w:ascii="Liberation Serif" w:hAnsi="Liberation Serif"/>
          <w:sz w:val="28"/>
          <w:szCs w:val="28"/>
        </w:rPr>
        <w:t>»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>
        <w:rPr>
          <w:rFonts w:ascii="Liberation Serif" w:hAnsi="Liberation Serif"/>
          <w:sz w:val="28"/>
          <w:szCs w:val="28"/>
        </w:rPr>
        <w:t>после слов «направление бюджетных ассигнований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организациях» пункта 3.11. Приложения №1 дополнить абзацами следующего содержания: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Программное мероприятие, указанное в пункте 3.12. Приложения № 1 к муниципальной программе, предусматривает направление бюджетных ассигнований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(Приобретение и установка модульного спортивного зала МБОУ «СОШ № 6 г. Уссурийска»)»;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 xml:space="preserve">Программное мероприятие, указанное в пункте 3.13. Приложения № 1 к муниципальной программе, предусматривает направление бюджетных ассигнований на реализацию мероприятий проектов инициативного бюджетирования по направлению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Молодежный бюджет</w:t>
      </w:r>
      <w:r>
        <w:rPr>
          <w:rFonts w:eastAsia="Arial" w:cs="Arial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в том числе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Спортивная площадка на территории МАОУ СОШ № 25</w:t>
      </w:r>
      <w:r>
        <w:rPr>
          <w:rFonts w:eastAsia="Arial" w:cs="Arial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Спортивная площадка для игры в волейбол на территории МБОУ СОШ п. Тимирязевский</w:t>
      </w:r>
      <w:r>
        <w:rPr>
          <w:rFonts w:eastAsia="Arial" w:cs="Arial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Благоустройство двора МБОУ СОШ № 130</w:t>
      </w:r>
      <w:r>
        <w:rPr>
          <w:rFonts w:eastAsia="Arial" w:cs="Arial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 xml:space="preserve">, </w:t>
      </w:r>
      <w:r>
        <w:rPr>
          <w:rFonts w:eastAsia="Arial" w:cs="Arial" w:ascii="Liberation Serif" w:hAnsi="Liberation Serif"/>
          <w:sz w:val="28"/>
          <w:szCs w:val="28"/>
        </w:rPr>
        <w:t>«</w:t>
      </w:r>
      <w:r>
        <w:rPr>
          <w:rFonts w:ascii="Liberation Serif" w:hAnsi="Liberation Serif"/>
          <w:sz w:val="28"/>
          <w:szCs w:val="28"/>
        </w:rPr>
        <w:t>Реконструкция Многофункциональной спортивной площадки на территории МБОУ СОШ с. Борисовка</w:t>
      </w:r>
      <w:r>
        <w:rPr>
          <w:rFonts w:eastAsia="Arial" w:cs="Arial"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sz w:val="28"/>
          <w:szCs w:val="28"/>
        </w:rPr>
        <w:t>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после слов «направление бюджетных ассигнований на мероприятия, связанные с трудоустройством несовершеннолетних граждан в возрасте от 14 до 18 лет в каникулярное время» дополнить абзацем следующего содержания: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>«Программное мероприятие, указанное в пункте 7.7. Приложения № 1 к муниципальной программе, предусматривает направление бюджетных ассигнований на реализация мероприятий, направленных на создание современной инфраструктуры для отдыха детей и их оздоровления путем возведения некапитальных строений, сооружений (быстровозводимых конструкций, а также при проведении капитального ремонта объектов инфраструктуры организаций отдыха детей и их оздоровления (МАУ ДОЛ «Надежда»;</w:t>
      </w:r>
    </w:p>
    <w:p>
      <w:pPr>
        <w:pStyle w:val="Style16"/>
        <w:tabs>
          <w:tab w:val="clear" w:pos="708"/>
          <w:tab w:val="left" w:pos="697" w:leader="none"/>
        </w:tabs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в) 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  <w:t>г) Приложение № 3 «Финансовое обеспечение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2. Управлению культуры администрации Уссурийского городского округа (Тесленко) опубликовать настоящее постановление в средствах массовой информации.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3. Управлению делами аппарата администрации Уссурийского городского округа (Болтенко) разместить настоящее постановление на официальном сайте администрации Уссурийского городского округа.</w:t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Style16"/>
        <w:spacing w:lineRule="auto" w:line="360" w:before="57" w:after="83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Style w:val="ae"/>
        <w:tblW w:w="93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3118"/>
        <w:gridCol w:w="3571"/>
        <w:gridCol w:w="2665"/>
      </w:tblGrid>
      <w:tr>
        <w:trPr/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/>
                <w:sz w:val="28"/>
                <w:szCs w:val="28"/>
              </w:rPr>
            </w:pPr>
            <w:sdt>
              <w:sdtPr>
                <w:placeholder>
                  <w:docPart w:val="4b64988d9a704984bdab619787cea750"/>
                </w:placeholder>
              </w:sdtPr>
              <w:sdtContent>
                <w:r>
                  <w:rPr/>
                </w:r>
                <w:r>
                  <w:rPr/>
                </w:r>
              </w:sdtContent>
            </w:sdt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Глава Уссурийского городского округа</w:t>
            </w:r>
          </w:p>
        </w:tc>
        <w:tc>
          <w:tcPr>
            <w:tcW w:w="35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right"/>
              <w:rPr>
                <w:rFonts w:ascii="Liberation Serif" w:hAnsi="Liberation Serif"/>
                <w:sz w:val="28"/>
                <w:szCs w:val="28"/>
              </w:rPr>
            </w:pPr>
            <w:sdt>
              <w:sdtPr>
                <w:placeholder>
                  <w:docPart w:val="7a4b7d7aa8cb46fe9af15949569caf9c"/>
                </w:placeholder>
              </w:sdtPr>
              <w:sdtContent>
                <w:r>
                  <w:rPr/>
                </w:r>
                <w:r>
                  <w:rPr/>
                </w:r>
              </w:sdtContent>
            </w:sdt>
            <w:r>
              <w:rPr>
                <w:rFonts w:eastAsia="Arial" w:cs="Liberation Serif" w:ascii="Liberation Serif" w:hAnsi="Liberation Serif"/>
                <w:kern w:val="0"/>
                <w:sz w:val="28"/>
                <w:szCs w:val="28"/>
                <w:lang w:val="ru-RU" w:eastAsia="en-US" w:bidi="ar-SA"/>
              </w:rPr>
              <w:t>Е.Е. Корж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697" w:leader="none"/>
        </w:tabs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  <w:sz w:val="28"/>
          <w:szCs w:val="28"/>
        </w:rPr>
      </w:pPr>
      <w:r>
        <w:rPr/>
      </w:r>
    </w:p>
    <w:sectPr>
      <w:headerReference w:type="default" r:id="rId3"/>
      <w:headerReference w:type="first" r:id="rId4"/>
      <w:footerReference w:type="default" r:id="rId5"/>
      <w:footerReference w:type="first" r:id="rId6"/>
      <w:type w:val="nextPage"/>
      <w:pgSz w:w="11906" w:h="16838"/>
      <w:pgMar w:left="1701" w:right="850" w:gutter="0" w:header="283" w:top="381" w:footer="283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4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before="0" w:after="200"/>
      <w:jc w:val="right"/>
      <w:rPr/>
    </w:pPr>
    <w:sdt>
      <w:sdtPr>
        <w:placeholder>
          <w:docPart w:val="7a4b7d7aa8cb46fe9af15949569caf9c"/>
        </w:placeholder>
      </w:sdtPr>
      <w:sdtContent>
        <w:r>
          <w:rPr/>
        </w:r>
        <w:sdt>
          <w:sdtPr>
            <w:id w:val="1220821003"/>
            <w:placeholder>
              <w:docPart w:val="7a4b7d7aa8cb46fe9af15949569caf9c"/>
            </w:placeholder>
            <w:alias w:val="Штрихкод"/>
          </w:sdtPr>
          <w:sdtContent>
            <w:r>
              <w:rPr/>
              <w:drawing>
                <wp:inline distT="0" distB="0" distL="0" distR="0">
                  <wp:extent cx="2051685" cy="647700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68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</w:sdtContent>
        </w:sdt>
      </w:sdtContent>
    </w:sdt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spacing w:lineRule="auto" w:line="360" w:before="283" w:after="0"/>
      <w:jc w:val="center"/>
      <w:rPr>
        <w:rFonts w:ascii="Liberation Serif" w:hAnsi="Liberation Serif" w:cs="Liberation Serif"/>
        <w:sz w:val="28"/>
        <w:szCs w:val="28"/>
      </w:rPr>
    </w:pPr>
    <w:r>
      <w:rPr>
        <w:rFonts w:cs="Liberation Serif" w:ascii="Liberation Serif" w:hAnsi="Liberation Serif"/>
        <w:sz w:val="28"/>
        <w:szCs w:val="28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3"/>
      <w:tabs>
        <w:tab w:val="clear" w:pos="7143"/>
        <w:tab w:val="clear" w:pos="14287"/>
        <w:tab w:val="left" w:pos="2996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pPr>
      <w:keepNext w:val="true"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2">
    <w:name w:val="Heading 2"/>
    <w:basedOn w:val="Normal"/>
    <w:next w:val="Normal"/>
    <w:link w:val="21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1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1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1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1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1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1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1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Название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Style8" w:customStyle="1">
    <w:name w:val="Верхний колонтитул Знак"/>
    <w:uiPriority w:val="99"/>
    <w:qFormat/>
    <w:rPr/>
  </w:style>
  <w:style w:type="character" w:styleId="FooterChar" w:customStyle="1">
    <w:name w:val="Footer Char"/>
    <w:uiPriority w:val="99"/>
    <w:qFormat/>
    <w:rPr/>
  </w:style>
  <w:style w:type="character" w:styleId="Style9" w:customStyle="1">
    <w:name w:val="Нижний колонтитул Знак"/>
    <w:uiPriority w:val="99"/>
    <w:qFormat/>
    <w:rPr/>
  </w:style>
  <w:style w:type="character" w:styleId="Style10">
    <w:name w:val="Hyperlink"/>
    <w:uiPriority w:val="99"/>
    <w:unhideWhenUsed/>
    <w:rPr>
      <w:color w:val="0563C1" w:themeColor="hyperlink"/>
      <w:u w:val="single"/>
    </w:rPr>
  </w:style>
  <w:style w:type="character" w:styleId="Style11" w:customStyle="1">
    <w:name w:val="Текст сноски Знак"/>
    <w:uiPriority w:val="99"/>
    <w:qFormat/>
    <w:rPr>
      <w:sz w:val="18"/>
    </w:rPr>
  </w:style>
  <w:style w:type="character" w:styleId="Style12">
    <w:name w:val="Footnote Reference"/>
    <w:rPr>
      <w:vertAlign w:val="superscript"/>
    </w:rPr>
  </w:style>
  <w:style w:type="character" w:styleId="FootnoteCharacters">
    <w:name w:val="Footnote Characters"/>
    <w:uiPriority w:val="99"/>
    <w:unhideWhenUsed/>
    <w:qFormat/>
    <w:rPr>
      <w:vertAlign w:val="superscript"/>
    </w:rPr>
  </w:style>
  <w:style w:type="character" w:styleId="Style13" w:customStyle="1">
    <w:name w:val="Текст концевой сноски Знак"/>
    <w:uiPriority w:val="99"/>
    <w:qFormat/>
    <w:rPr>
      <w:sz w:val="20"/>
    </w:rPr>
  </w:style>
  <w:style w:type="character" w:styleId="Style14">
    <w:name w:val="Endnote Reference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Pr>
      <w:vertAlign w:val="superscript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Droid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Style20">
    <w:name w:val="Title"/>
    <w:basedOn w:val="Normal"/>
    <w:next w:val="Normal"/>
    <w:link w:val="Style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21">
    <w:name w:val="Subtitle"/>
    <w:basedOn w:val="Normal"/>
    <w:next w:val="Normal"/>
    <w:link w:val="Style6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8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9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Caption">
    <w:name w:val="caption"/>
    <w:basedOn w:val="Normal"/>
    <w:next w:val="Normal"/>
    <w:uiPriority w:val="35"/>
    <w:semiHidden/>
    <w:unhideWhenUsed/>
    <w:qFormat/>
    <w:pPr/>
    <w:rPr>
      <w:b/>
      <w:bCs/>
      <w:color w:val="5B9BD5" w:themeColor="accent1"/>
      <w:sz w:val="18"/>
      <w:szCs w:val="18"/>
    </w:rPr>
  </w:style>
  <w:style w:type="paragraph" w:styleId="Style25">
    <w:name w:val="Footnote Text"/>
    <w:basedOn w:val="Normal"/>
    <w:link w:val="Style1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Style26">
    <w:name w:val="Endnote Text"/>
    <w:basedOn w:val="Normal"/>
    <w:link w:val="Style13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Style27">
    <w:name w:val="Index Heading"/>
    <w:basedOn w:val="Style15"/>
    <w:pPr/>
    <w:rPr/>
  </w:style>
  <w:style w:type="paragraph" w:styleId="Style28">
    <w:name w:val="TOC Heading"/>
    <w:uiPriority w:val="39"/>
    <w:unhideWhenUsed/>
    <w:pPr>
      <w:widowControl/>
      <w:suppressAutoHyphens w:val="true"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Arial" w:cs="Calibri" w:eastAsiaTheme="minorEastAsia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EC4E6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4B28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ACACA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FDA6A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1ACDC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AAD190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68A2D8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5B9BD5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ED7D31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5A5A5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FC000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472C4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70AD47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color="ACCCEA" w:themeColor="accent1" w:sz="12" w:space="0"/>
        </w:tcBorders>
      </w:tcPr>
    </w:tblStylePr>
    <w:tblStylePr w:type="lastRow">
      <w:rPr>
        <w:b/>
        <w:color w:val="ACCCEA" w:themeColor="accent1" w:themeTint="80" w:themeShade="95"/>
      </w:rPr>
      <w:tblPr/>
    </w:tblStylePr>
    <w:tblStylePr w:type="firstCol">
      <w:rPr>
        <w:b/>
        <w:color w:val="ACCCEA" w:themeColor="accent1" w:themeTint="80" w:themeShade="95"/>
      </w:rPr>
      <w:tblPr/>
    </w:tblStylePr>
    <w:tblStylePr w:type="lastCol">
      <w:rPr>
        <w:b/>
        <w:color w:val="ACCCEA" w:themeColor="accent1" w:themeTint="80" w:themeShade="95"/>
      </w:rPr>
      <w:tblPr/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b/>
        <w:color w:val="F4B184" w:themeColor="accent2" w:themeTint="97" w:themeShade="95"/>
      </w:rPr>
      <w:tblPr/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color="A5A5A5" w:themeColor="accent3" w:sz="12" w:space="0"/>
        </w:tcBorders>
      </w:tcPr>
    </w:tblStylePr>
    <w:tblStylePr w:type="lastRow">
      <w:rPr>
        <w:b/>
        <w:color w:val="A5A5A5" w:themeColor="accent3" w:themeTint="fe" w:themeShade="95"/>
      </w:rPr>
      <w:tblPr/>
    </w:tblStylePr>
    <w:tblStylePr w:type="firstCol">
      <w:rPr>
        <w:b/>
        <w:color w:val="A5A5A5" w:themeColor="accent3" w:themeTint="fe" w:themeShade="95"/>
      </w:rPr>
      <w:tblPr/>
    </w:tblStylePr>
    <w:tblStylePr w:type="lastCol">
      <w:rPr>
        <w:b/>
        <w:color w:val="A5A5A5" w:themeColor="accent3" w:themeTint="fe" w:themeShade="95"/>
      </w:rPr>
      <w:tblPr/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b/>
        <w:color w:val="FFD865" w:themeColor="accent4" w:themeTint="9a" w:themeShade="95"/>
      </w:rPr>
      <w:tblPr/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color="70AD47" w:themeColor="accent6" w:sz="12" w:space="0"/>
        </w:tcBorders>
      </w:tcPr>
    </w:tblStylePr>
    <w:tblStylePr w:type="lastRow">
      <w:rPr>
        <w:b/>
        <w:color w:val="254175" w:themeColor="accent5" w:themeShade="95"/>
      </w:rPr>
      <w:tblPr/>
    </w:tblStylePr>
    <w:tblStylePr w:type="firstCol">
      <w:rPr>
        <w:b/>
        <w:color w:val="254175" w:themeColor="accent5" w:themeShade="95"/>
      </w:rPr>
      <w:tblPr/>
    </w:tblStylePr>
    <w:tblStylePr w:type="lastCol">
      <w:rPr>
        <w:b/>
        <w:color w:val="254175" w:themeColor="accent5" w:themeShade="95"/>
      </w:rPr>
      <w:tblPr/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CCCEA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color="ACCCEA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sz="4" w:space="0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color="000000" w:sz="4" w:space="0"/>
          <w:left w:val="single" w:color="ACCCEA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sz="4" w:space="0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color="000000" w:sz="4" w:space="0"/>
          <w:left w:val="single" w:color="A5A5A5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sz="4" w:space="0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color="000000" w:sz="4" w:space="0"/>
          <w:left w:val="single" w:color="95AFDD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color w:val="254175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sz="4" w:space="0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color="000000" w:sz="4" w:space="0"/>
          <w:left w:val="single" w:color="ADD394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color w:val="416429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5B9BD5" w:themeColor="accent1" w:sz="32" w:space="0"/>
          <w:bottom w:val="single" w:color="FFFFFF" w:themeColor="light1" w:sz="12" w:space="0"/>
        </w:tcBorders>
        <w:shd w:val="clear" w:color="5B9BD5" w:fill="5B9BD5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5B9BD5" w:fill="5B9BD5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4B184" w:themeColor="accent2" w:sz="32" w:space="0"/>
          <w:bottom w:val="single" w:color="FFFFFF" w:themeColor="light1" w:sz="12" w:space="0"/>
        </w:tcBorders>
        <w:shd w:val="clear" w:color="F4B184" w:fill="F4B184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9C9C9" w:themeColor="accent3" w:sz="32" w:space="0"/>
          <w:bottom w:val="single" w:color="FFFFFF" w:themeColor="light1" w:sz="12" w:space="0"/>
        </w:tcBorders>
        <w:shd w:val="clear" w:color="C9C9C9" w:fill="C9C9C9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FD865" w:themeColor="accent4" w:sz="32" w:space="0"/>
          <w:bottom w:val="single" w:color="FFFFFF" w:themeColor="light1" w:sz="12" w:space="0"/>
        </w:tcBorders>
        <w:shd w:val="clear" w:color="FFD865" w:fill="FFD865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8DA9DB" w:themeColor="accent5" w:sz="32" w:space="0"/>
          <w:bottom w:val="single" w:color="FFFFFF" w:themeColor="light1" w:sz="12" w:space="0"/>
        </w:tcBorders>
        <w:shd w:val="clear" w:color="8DA9DB" w:fill="8DA9DB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A9D08E" w:themeColor="accent6" w:sz="32" w:space="0"/>
          <w:bottom w:val="single" w:color="FFFFFF" w:themeColor="light1" w:sz="12" w:space="0"/>
        </w:tcBorders>
        <w:shd w:val="clear" w:color="A9D08E" w:fill="A9D08E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9D08E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color="5B9BD5" w:themeColor="accent1" w:sz="4" w:space="0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color="5B9BD5" w:themeColor="accent1" w:sz="4" w:space="0"/>
        </w:tcBorders>
      </w:tcPr>
    </w:tblStylePr>
    <w:tblStylePr w:type="firstCol">
      <w:rPr>
        <w:b/>
        <w:color w:val="245A8D" w:themeColor="accent1" w:themeShade="95"/>
      </w:rPr>
      <w:tblPr/>
    </w:tblStylePr>
    <w:tblStylePr w:type="lastCol">
      <w:rPr>
        <w:b/>
        <w:color w:val="245A8D" w:themeColor="accent1" w:themeShade="95"/>
      </w:rPr>
      <w:tblPr/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color="F4B184" w:themeColor="accent2" w:sz="4" w:space="0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color="F4B184" w:themeColor="accent2" w:sz="4" w:space="0"/>
        </w:tcBorders>
      </w:tcPr>
    </w:tblStylePr>
    <w:tblStylePr w:type="firstCol">
      <w:rPr>
        <w:b/>
        <w:color w:val="F4B184" w:themeColor="accent2" w:themeTint="97" w:themeShade="95"/>
      </w:rPr>
      <w:tblPr/>
    </w:tblStylePr>
    <w:tblStylePr w:type="lastCol">
      <w:rPr>
        <w:b/>
        <w:color w:val="F4B184" w:themeColor="accent2" w:themeTint="97" w:themeShade="95"/>
      </w:rPr>
      <w:tblPr/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color="C9C9C9" w:themeColor="accent3" w:sz="4" w:space="0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color="C9C9C9" w:themeColor="accent3" w:sz="4" w:space="0"/>
        </w:tcBorders>
      </w:tcPr>
    </w:tblStylePr>
    <w:tblStylePr w:type="firstCol">
      <w:rPr>
        <w:b/>
        <w:color w:val="C9C9C9" w:themeColor="accent3" w:themeTint="98" w:themeShade="95"/>
      </w:rPr>
      <w:tblPr/>
    </w:tblStylePr>
    <w:tblStylePr w:type="lastCol">
      <w:rPr>
        <w:b/>
        <w:color w:val="C9C9C9" w:themeColor="accent3" w:themeTint="98" w:themeShade="95"/>
      </w:rPr>
      <w:tblPr/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color="FFD865" w:themeColor="accent4" w:sz="4" w:space="0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color="FFD865" w:themeColor="accent4" w:sz="4" w:space="0"/>
        </w:tcBorders>
      </w:tcPr>
    </w:tblStylePr>
    <w:tblStylePr w:type="firstCol">
      <w:rPr>
        <w:b/>
        <w:color w:val="FFD865" w:themeColor="accent4" w:themeTint="9a" w:themeShade="95"/>
      </w:rPr>
      <w:tblPr/>
    </w:tblStylePr>
    <w:tblStylePr w:type="lastCol">
      <w:rPr>
        <w:b/>
        <w:color w:val="FFD865" w:themeColor="accent4" w:themeTint="9a" w:themeShade="95"/>
      </w:rPr>
      <w:tblPr/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color="8DA9DB" w:themeColor="accent5" w:sz="4" w:space="0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color="8DA9DB" w:themeColor="accent5" w:sz="4" w:space="0"/>
        </w:tcBorders>
      </w:tcPr>
    </w:tblStylePr>
    <w:tblStylePr w:type="firstCol">
      <w:rPr>
        <w:b/>
        <w:color w:val="8DA9DB" w:themeColor="accent5" w:themeTint="9a" w:themeShade="95"/>
      </w:rPr>
      <w:tblPr/>
    </w:tblStylePr>
    <w:tblStylePr w:type="lastCol">
      <w:rPr>
        <w:b/>
        <w:color w:val="8DA9DB" w:themeColor="accent5" w:themeTint="9a" w:themeShade="95"/>
      </w:rPr>
      <w:tblPr/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color="A9D08E" w:themeColor="accent6" w:sz="4" w:space="0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color="A9D08E" w:themeColor="accent6" w:sz="4" w:space="0"/>
        </w:tcBorders>
      </w:tcPr>
    </w:tblStylePr>
    <w:tblStylePr w:type="firstCol">
      <w:rPr>
        <w:b/>
        <w:color w:val="A9D08E" w:themeColor="accent6" w:themeTint="98" w:themeShade="95"/>
      </w:rPr>
      <w:tblPr/>
    </w:tblStylePr>
    <w:tblStylePr w:type="lastCol">
      <w:rPr>
        <w:b/>
        <w:color w:val="A9D08E" w:themeColor="accent6" w:themeTint="98" w:themeShade="95"/>
      </w:rPr>
      <w:tblPr/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color w:val="245A8D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4B184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sz="4" w:space="0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color="000000" w:sz="4" w:space="0"/>
          <w:left w:val="single" w:color="F4B184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9C9C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color="C9C9C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sz="4" w:space="0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color="000000" w:sz="4" w:space="0"/>
          <w:left w:val="single" w:color="C9C9C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FD865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sz="4" w:space="0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color="000000" w:sz="4" w:space="0"/>
          <w:left w:val="single" w:color="FFD865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8DA9DB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color="8DA9DB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sz="4" w:space="0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color="000000" w:sz="4" w:space="0"/>
          <w:left w:val="single" w:color="8DA9DB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9D08E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color="A9D08E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sz="4" w:space="0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color="000000" w:sz="4" w:space="0"/>
          <w:left w:val="single" w:color="A9D08E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5B9BD5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5B9BD5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5B9BD5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4B184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4B184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4B184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9C9C9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9C9C9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9C9C9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FD865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FD865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FD865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8DA9DB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8DA9DB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8DA9DB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A9D08E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A9D08E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A9D08E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glossaryDocument" Target="glossary/document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39d71d0c64aa5b8fbbc28cdf2d4ea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1D6437A-3E90-4907-B695-A0C303B97A2D}"/>
      </w:docPartPr>
      <w:docPartBody>
        <w:p w:rsidR="003C552A" w:rsidRDefault="00521F90">
          <w:r>
            <w:t>&lt;Краткое содержание&gt;</w:t>
          </w:r>
        </w:p>
      </w:docPartBody>
    </w:docPart>
    <w:docPart>
      <w:docPartPr>
        <w:name w:val="4b64988d9a704984bdab619787cea75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2556EDD-09C7-4F5C-80ED-D88BF5D94911}"/>
      </w:docPartPr>
      <w:docPartBody>
        <w:p w:rsidR="003C552A" w:rsidRDefault="00521F90">
          <w:r>
            <w:t>&lt;Должность&gt;</w:t>
          </w:r>
        </w:p>
      </w:docPartBody>
    </w:docPart>
    <w:docPart>
      <w:docPartPr>
        <w:name w:val="7a4b7d7aa8cb46fe9af15949569caf9c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1DEFBDF1-B846-4D3F-89C2-D9429AE89103}"/>
      </w:docPartPr>
      <w:docPartBody>
        <w:p w:rsidR="003C552A" w:rsidRDefault="00521F90">
          <w:r>
            <w:t>&lt;И.О. Фамилия&gt;</w:t>
          </w:r>
        </w:p>
      </w:docPartBody>
    </w:docPart>
    <w:docPart>
      <w:docPartPr>
        <w:name w:val="66D91C2E45A8423BBB3A78C6CD58C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ECE79F-7D14-48A0-BA75-4910DDF2B1F9}"/>
      </w:docPartPr>
      <w:docPartBody>
        <w:p w:rsidR="006869D0" w:rsidRDefault="003D347A" w:rsidP="003D347A">
          <w:pPr>
            <w:pStyle w:val="66D91C2E45A8423BBB3A78C6CD58CD3E"/>
          </w:pPr>
          <w:r>
            <w:t xml:space="preserve">    </w:t>
          </w:r>
        </w:p>
      </w:docPartBody>
    </w:docPart>
    <w:docPart>
      <w:docPartPr>
        <w:name w:val="D0D1EDA249B94A26AD6A16FCA8872C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E12A24-0833-4D76-B092-9DF7306D3889}"/>
      </w:docPartPr>
      <w:docPartBody>
        <w:p w:rsidR="006869D0" w:rsidRDefault="003D347A" w:rsidP="003D347A">
          <w:pPr>
            <w:pStyle w:val="D0D1EDA249B94A26AD6A16FCA8872CDF"/>
          </w:pPr>
          <w: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2A"/>
    <w:rsid w:val="003C552A"/>
    <w:rsid w:val="003D347A"/>
    <w:rsid w:val="00521F90"/>
    <w:rsid w:val="006869D0"/>
    <w:rsid w:val="00851550"/>
    <w:rsid w:val="00C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D7912190C2BB424AB0132C09A32FE441">
    <w:name w:val="D7912190C2BB424AB0132C09A32FE441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05877CD91624FEFB57B5B7CFA075C5A">
    <w:name w:val="605877CD91624FEFB57B5B7CFA075C5A"/>
    <w:rsid w:val="003C552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6D91C2E45A8423BBB3A78C6CD58CD3E">
    <w:name w:val="66D91C2E45A8423BBB3A78C6CD58CD3E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0D1EDA249B94A26AD6A16FCA8872CDF">
    <w:name w:val="D0D1EDA249B94A26AD6A16FCA8872CDF"/>
    <w:rsid w:val="003D347A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Application>LibreOffice/7.4.2.3$Linux_X86_64 LibreOffice_project/40$Build-3</Application>
  <AppVersion>15.0000</AppVersion>
  <Pages>6</Pages>
  <Words>810</Words>
  <Characters>5450</Characters>
  <CharactersWithSpaces>6315</CharactersWithSpaces>
  <Paragraphs>52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2023-12-28T04:22:00Z</dcterms:created>
  <dc:creator/>
  <dc:description/>
  <dc:language>ru-RU</dc:language>
  <cp:lastModifiedBy/>
  <dcterms:modified xsi:type="dcterms:W3CDTF">2024-02-14T11:16:24Z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3" name="TPL_И.О. Фамилия">
    <vt:lpwstr>ezI2NGFkYTRlLWIyNzItNGVjYy1hMTE1LTEyNDZjOTU1NmJmYTphOGNjNWMyYS1jZjg5LTQ2MTEtYTRmNC01MjQ5NzVhZDZhYmJ9LT5Jbml0aWFsc0FuZExhc3ROYW1l</vt:lpwstr>
  </property>
  <property fmtid="{D5CDD505-2E9C-101B-9397-08002B2CF9AE}" pid="4" name="TPL_Содержание">
    <vt:lpwstr>e2NlNjIwYTgwLWU0ZGYtNDNiOC05MjI1LTY5YTk0NzI2YTA3Njo2N2FkNmFiOS1iYTQzLTRjNDItYWNhNi00MjI2NTA0MGUzMDh9</vt:lpwstr>
  </property>
  <property fmtid="{D5CDD505-2E9C-101B-9397-08002B2CF9AE}" pid="5" name="TPL_Штрихкод">
    <vt:lpwstr>R2V0QmFyY29kZQ==</vt:lpwstr>
  </property>
</Properties>
</file>