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spacing w:line="26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spacing w:line="26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spacing w:line="26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2"/>
        <w:ind w:left="0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82"/>
        <w:ind w:left="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О</w:t>
      </w:r>
      <w:r>
        <w:rPr>
          <w:szCs w:val="28"/>
        </w:rPr>
        <w:t xml:space="preserve"> внесении изменений в </w:t>
      </w:r>
      <w:r>
        <w:rPr>
          <w:szCs w:val="28"/>
        </w:rPr>
      </w:r>
      <w:r>
        <w:rPr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Уссурийского городского округа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11 августа 2015 года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2136-НПА «Об утверждении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административного регламента по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предоставлению муниципальной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услуги «Выдача разрешения на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организации розничного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рынка» и о признании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тратившими силу некоторых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Уссурийского городского округа»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2"/>
        <w:ind w:left="0"/>
        <w:jc w:val="left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82"/>
        <w:ind w:left="0"/>
        <w:jc w:val="left"/>
        <w:spacing w:line="36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82"/>
        <w:ind w:left="0"/>
        <w:spacing w:line="36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ind w:left="0" w:right="0" w:firstLine="709"/>
        <w:jc w:val="both"/>
        <w:spacing w:before="0" w:after="0" w:line="36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Calibri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consultantplus://offline/ref=409637F09B05FF0AC8F155CC5863298A6324443537187A18810ACD584E5F505CA2D93098C89D52B606810DCEFDVAc2F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30 декабря 2006 года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271-ФЗ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розничных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рынках и о внесении изменений в Трудовой кодекс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consultantplus://offline/ref=409637F09B05FF0AC8F155CC5863298A6321443234197A18810ACD584E5F505CA2D93098C89D52B606810DCEFDVAc2F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Правительства Российской Федерации от 22 декабря 2012 года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1376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услуг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законом Приморского края                      от 02 мая 2024 года </w:t>
      </w:r>
      <w:r>
        <w:rPr>
          <w:sz w:val="28"/>
          <w:szCs w:val="28"/>
        </w:rPr>
        <w:t xml:space="preserve">№ 554-КЗ  «</w:t>
      </w:r>
      <w:r>
        <w:rPr>
          <w:sz w:val="28"/>
          <w:szCs w:val="28"/>
        </w:rPr>
        <w:t xml:space="preserve">О внесении изменений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Закон Приморского края «О государственном регулировании торговой деятельности                              в Приморском крае» и признании утратившими силу законодательных актов и отдельных положений законодательных актов Приморского края»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статьей 31 Устава Уссурийского городского округа,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приведения муниципального правового акта Уссурийского городского округа в соответствие с действующим законодательством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 w:firstLine="709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ПОСТАНОВЛЯЕТ: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firstLine="709"/>
        <w:jc w:val="both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 Уссурийского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от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136</w:t>
      </w:r>
      <w:r>
        <w:rPr>
          <w:sz w:val="28"/>
          <w:szCs w:val="28"/>
        </w:rPr>
        <w:t xml:space="preserve">-НПА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«Выдача разрешения на право организации розничного рынка»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о признании утратившими силу некоторых постановлений администрации Уссурийского городского округа»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следующие изменения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4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consultantplus://offline/ref=D6FEE67154EA0A0D45B26B00513341D7BBEFF0A8B354A16BD9F5C581312A5C7EF3D63BEBCFDBD92B08BAC7C369DD9B9E04708894B61129656BDF953Aw5h8H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регламенте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по предоставлению муниципальной услуги «Выдача разрешения на право организации розничного рынка»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егламент), утвержденном постановлением: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94"/>
        <w:ind w:firstLine="709"/>
        <w:jc w:val="both"/>
        <w:spacing w:line="360" w:lineRule="auto"/>
        <w:rPr>
          <w:szCs w:val="28"/>
        </w:rPr>
      </w:pPr>
      <w:r>
        <w:rPr>
          <w:szCs w:val="28"/>
        </w:rPr>
        <w:t xml:space="preserve">а) </w:t>
      </w:r>
      <w:r>
        <w:rPr>
          <w:szCs w:val="28"/>
        </w:rPr>
        <w:t xml:space="preserve">в разделе </w:t>
      </w:r>
      <w:r>
        <w:rPr>
          <w:szCs w:val="28"/>
          <w:lang w:val="en-US"/>
        </w:rPr>
        <w:t xml:space="preserve">II</w:t>
      </w:r>
      <w:r>
        <w:rPr>
          <w:szCs w:val="28"/>
        </w:rPr>
        <w:t xml:space="preserve">. «Стандарт предо</w:t>
      </w:r>
      <w:r>
        <w:rPr>
          <w:szCs w:val="28"/>
        </w:rPr>
        <w:t xml:space="preserve">ставления муниципальной услуги»:</w:t>
      </w:r>
      <w:r>
        <w:rPr>
          <w:szCs w:val="28"/>
        </w:rPr>
      </w:r>
      <w:r>
        <w:rPr>
          <w:szCs w:val="28"/>
        </w:rPr>
      </w:r>
    </w:p>
    <w:p>
      <w:pPr>
        <w:pStyle w:val="894"/>
        <w:ind w:firstLine="709"/>
        <w:jc w:val="both"/>
        <w:spacing w:line="360" w:lineRule="auto"/>
        <w:rPr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«д» пункта 8</w:t>
      </w:r>
      <w:r>
        <w:rPr>
          <w:highlight w:val="none"/>
        </w:rPr>
        <w:t xml:space="preserve"> исключить; 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spacing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пункт 8 дополнить подпунктом «з» следующего содержания:</w:t>
      </w:r>
      <w:r/>
    </w:p>
    <w:p>
      <w:pPr>
        <w:ind w:left="0" w:right="0" w:firstLine="709"/>
        <w:jc w:val="both"/>
        <w:spacing w:before="0" w:after="0" w:line="36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«з)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Закон Приморского края от 31 января 2024 № 510-КЗ</w:t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«О государственном регулировании торговой деятельности в Приморском крае».</w:t>
      </w:r>
      <w:r>
        <w:rPr>
          <w:sz w:val="28"/>
          <w:szCs w:val="28"/>
        </w:rPr>
        <w:t xml:space="preserve">».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887"/>
        <w:ind w:firstLine="709"/>
        <w:jc w:val="both"/>
        <w:spacing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  <w:highlight w:val="none"/>
        </w:rPr>
        <w:t xml:space="preserve">2.</w:t>
      </w:r>
      <w:r>
        <w:rPr>
          <w:rFonts w:ascii="Times New Roman" w:hAnsi="Times New Roman" w:cs="Times New Roman"/>
          <w:b w:val="0"/>
          <w:color w:val="000000" w:themeColor="text1"/>
          <w:sz w:val="27"/>
          <w:szCs w:val="27"/>
          <w:highlight w:val="none"/>
        </w:rPr>
        <w:t xml:space="preserve"> 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Управлению культуры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администрации Уссурийского городского округа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(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Тесленко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</w:r>
    </w:p>
    <w:p>
      <w:pPr>
        <w:pStyle w:val="887"/>
        <w:ind w:firstLine="709"/>
        <w:jc w:val="both"/>
        <w:spacing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3. Управлению делами аппарата администрации Уссурийского городского округа (Болтенко)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разместить настоящее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постановление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none"/>
        </w:rPr>
        <w:t xml:space="preserve">на официальном сайте администрации Уссурийского городского округа.</w:t>
      </w:r>
      <w:r>
        <w:rPr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4"/>
        <w:ind w:right="-2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Уссурийского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</w:t>
      </w:r>
      <w:r>
        <w:rPr>
          <w:sz w:val="28"/>
          <w:szCs w:val="28"/>
        </w:rPr>
        <w:t xml:space="preserve">                                      Е.Е. Корж</w:t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4"/>
        <w:sz w:val="28"/>
        <w:szCs w:val="28"/>
      </w:rPr>
      <w:framePr w:wrap="around" w:vAnchor="text" w:hAnchor="page" w:x="6376" w:y="-3"/>
    </w:pPr>
    <w:r>
      <w:rPr>
        <w:rStyle w:val="884"/>
        <w:sz w:val="28"/>
        <w:szCs w:val="28"/>
      </w:rPr>
      <w:fldChar w:fldCharType="begin"/>
    </w:r>
    <w:r>
      <w:rPr>
        <w:rStyle w:val="884"/>
        <w:sz w:val="28"/>
        <w:szCs w:val="28"/>
      </w:rPr>
      <w:instrText xml:space="preserve">PAGE  </w:instrText>
    </w:r>
    <w:r>
      <w:rPr>
        <w:rStyle w:val="884"/>
        <w:sz w:val="28"/>
        <w:szCs w:val="28"/>
      </w:rPr>
      <w:fldChar w:fldCharType="separate"/>
    </w:r>
    <w:r>
      <w:rPr>
        <w:rStyle w:val="884"/>
        <w:sz w:val="28"/>
        <w:szCs w:val="28"/>
      </w:rPr>
      <w:t xml:space="preserve">2</w:t>
    </w:r>
    <w:r>
      <w:rPr>
        <w:rStyle w:val="884"/>
        <w:sz w:val="28"/>
        <w:szCs w:val="28"/>
      </w:rPr>
      <w:fldChar w:fldCharType="end"/>
    </w:r>
    <w:r>
      <w:rPr>
        <w:rStyle w:val="884"/>
        <w:sz w:val="28"/>
        <w:szCs w:val="28"/>
      </w:rPr>
    </w:r>
    <w:r>
      <w:rPr>
        <w:rStyle w:val="884"/>
        <w:sz w:val="28"/>
        <w:szCs w:val="28"/>
      </w:rPr>
    </w:r>
  </w:p>
  <w:p>
    <w:pPr>
      <w:pStyle w:val="88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4"/>
      </w:rPr>
      <w:framePr w:wrap="around" w:vAnchor="text" w:hAnchor="margin" w:xAlign="center" w:y="1"/>
    </w:pPr>
    <w:r>
      <w:rPr>
        <w:rStyle w:val="884"/>
      </w:rPr>
      <w:fldChar w:fldCharType="begin"/>
    </w:r>
    <w:r>
      <w:rPr>
        <w:rStyle w:val="884"/>
      </w:rPr>
      <w:instrText xml:space="preserve">PAGE  </w:instrText>
    </w:r>
    <w:r>
      <w:rPr>
        <w:rStyle w:val="884"/>
      </w:rPr>
      <w:fldChar w:fldCharType="end"/>
    </w:r>
    <w:r>
      <w:rPr>
        <w:rStyle w:val="884"/>
      </w:rPr>
    </w:r>
    <w:r>
      <w:rPr>
        <w:rStyle w:val="884"/>
      </w:rPr>
    </w:r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4"/>
    <w:next w:val="874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4"/>
    <w:next w:val="874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4"/>
    <w:next w:val="874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4"/>
    <w:next w:val="874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4"/>
    <w:next w:val="874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4"/>
    <w:next w:val="874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4"/>
    <w:next w:val="874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4"/>
    <w:next w:val="874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4"/>
    <w:next w:val="874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4"/>
    <w:uiPriority w:val="34"/>
    <w:qFormat/>
    <w:pPr>
      <w:contextualSpacing/>
      <w:ind w:left="720"/>
    </w:pPr>
  </w:style>
  <w:style w:type="paragraph" w:styleId="715">
    <w:name w:val="No Spacing"/>
    <w:uiPriority w:val="1"/>
    <w:qFormat/>
    <w:pPr>
      <w:spacing w:before="0" w:after="0" w:line="240" w:lineRule="auto"/>
    </w:pPr>
  </w:style>
  <w:style w:type="paragraph" w:styleId="716">
    <w:name w:val="Title"/>
    <w:basedOn w:val="874"/>
    <w:next w:val="874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>
    <w:name w:val="Title Char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>
    <w:name w:val="Subtitle Char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Header Char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Footer Char"/>
    <w:link w:val="726"/>
    <w:uiPriority w:val="99"/>
  </w:style>
  <w:style w:type="paragraph" w:styleId="728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next w:val="874"/>
    <w:link w:val="874"/>
    <w:qFormat/>
    <w:rPr>
      <w:sz w:val="24"/>
      <w:szCs w:val="24"/>
      <w:lang w:val="ru-RU" w:eastAsia="ru-RU" w:bidi="ar-SA"/>
    </w:rPr>
  </w:style>
  <w:style w:type="paragraph" w:styleId="875">
    <w:name w:val="Заголовок 1"/>
    <w:basedOn w:val="874"/>
    <w:next w:val="874"/>
    <w:link w:val="874"/>
    <w:qFormat/>
    <w:pPr>
      <w:jc w:val="both"/>
      <w:keepNext/>
      <w:outlineLvl w:val="0"/>
    </w:pPr>
    <w:rPr>
      <w:sz w:val="28"/>
    </w:rPr>
  </w:style>
  <w:style w:type="paragraph" w:styleId="876">
    <w:name w:val="Заголовок 2"/>
    <w:basedOn w:val="874"/>
    <w:next w:val="874"/>
    <w:link w:val="874"/>
    <w:qFormat/>
    <w:pPr>
      <w:jc w:val="center"/>
      <w:keepNext/>
      <w:outlineLvl w:val="1"/>
    </w:pPr>
    <w:rPr>
      <w:b/>
      <w:bCs/>
    </w:rPr>
  </w:style>
  <w:style w:type="character" w:styleId="877">
    <w:name w:val="Основной шрифт абзаца"/>
    <w:next w:val="877"/>
    <w:link w:val="874"/>
    <w:semiHidden/>
  </w:style>
  <w:style w:type="table" w:styleId="878">
    <w:name w:val="Обычная таблица"/>
    <w:next w:val="878"/>
    <w:link w:val="874"/>
    <w:semiHidden/>
    <w:tblPr/>
  </w:style>
  <w:style w:type="numbering" w:styleId="879">
    <w:name w:val="Нет списка"/>
    <w:next w:val="879"/>
    <w:link w:val="874"/>
    <w:semiHidden/>
  </w:style>
  <w:style w:type="paragraph" w:styleId="880">
    <w:name w:val="Название объекта"/>
    <w:basedOn w:val="874"/>
    <w:next w:val="874"/>
    <w:link w:val="874"/>
    <w:qFormat/>
    <w:rPr>
      <w:sz w:val="28"/>
    </w:rPr>
  </w:style>
  <w:style w:type="paragraph" w:styleId="881">
    <w:name w:val="Текст выноски"/>
    <w:basedOn w:val="874"/>
    <w:next w:val="881"/>
    <w:link w:val="874"/>
    <w:semiHidden/>
    <w:rPr>
      <w:rFonts w:ascii="Tahoma" w:hAnsi="Tahoma" w:cs="Tahoma"/>
      <w:sz w:val="16"/>
      <w:szCs w:val="16"/>
    </w:rPr>
  </w:style>
  <w:style w:type="paragraph" w:styleId="882">
    <w:name w:val="Основной текст с отступом"/>
    <w:basedOn w:val="874"/>
    <w:next w:val="882"/>
    <w:link w:val="874"/>
    <w:pPr>
      <w:ind w:left="360"/>
      <w:jc w:val="both"/>
    </w:pPr>
    <w:rPr>
      <w:sz w:val="28"/>
    </w:rPr>
  </w:style>
  <w:style w:type="paragraph" w:styleId="883">
    <w:name w:val="Верхний колонтитул"/>
    <w:basedOn w:val="874"/>
    <w:next w:val="883"/>
    <w:link w:val="874"/>
    <w:pPr>
      <w:tabs>
        <w:tab w:val="center" w:pos="4677" w:leader="none"/>
        <w:tab w:val="right" w:pos="9355" w:leader="none"/>
      </w:tabs>
    </w:pPr>
  </w:style>
  <w:style w:type="character" w:styleId="884">
    <w:name w:val="Номер страницы"/>
    <w:basedOn w:val="877"/>
    <w:next w:val="884"/>
    <w:link w:val="874"/>
  </w:style>
  <w:style w:type="paragraph" w:styleId="885">
    <w:name w:val="Нижний колонтитул"/>
    <w:basedOn w:val="874"/>
    <w:next w:val="885"/>
    <w:link w:val="88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86">
    <w:name w:val="Нижний колонтитул Знак"/>
    <w:next w:val="886"/>
    <w:link w:val="885"/>
    <w:rPr>
      <w:sz w:val="24"/>
      <w:szCs w:val="24"/>
    </w:rPr>
  </w:style>
  <w:style w:type="paragraph" w:styleId="887">
    <w:name w:val="ConsPlusTitle"/>
    <w:next w:val="887"/>
    <w:link w:val="874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table" w:styleId="888">
    <w:name w:val="Сетка таблицы"/>
    <w:basedOn w:val="878"/>
    <w:next w:val="888"/>
    <w:link w:val="874"/>
    <w:uiPriority w:val="59"/>
    <w:rPr>
      <w:rFonts w:ascii="Calibri" w:hAnsi="Calibri" w:eastAsia="Times New Roman" w:cs="Times New Roman"/>
      <w:sz w:val="22"/>
      <w:szCs w:val="22"/>
    </w:rPr>
    <w:tblPr/>
  </w:style>
  <w:style w:type="character" w:styleId="889">
    <w:name w:val="Знак примечания"/>
    <w:next w:val="889"/>
    <w:link w:val="874"/>
    <w:rPr>
      <w:sz w:val="16"/>
      <w:szCs w:val="16"/>
    </w:rPr>
  </w:style>
  <w:style w:type="paragraph" w:styleId="890">
    <w:name w:val="Текст примечания"/>
    <w:basedOn w:val="874"/>
    <w:next w:val="890"/>
    <w:link w:val="891"/>
    <w:rPr>
      <w:sz w:val="20"/>
      <w:szCs w:val="20"/>
    </w:rPr>
  </w:style>
  <w:style w:type="character" w:styleId="891">
    <w:name w:val="Текст примечания Знак"/>
    <w:basedOn w:val="877"/>
    <w:next w:val="891"/>
    <w:link w:val="890"/>
  </w:style>
  <w:style w:type="paragraph" w:styleId="892">
    <w:name w:val="Тема примечания"/>
    <w:basedOn w:val="890"/>
    <w:next w:val="890"/>
    <w:link w:val="893"/>
    <w:rPr>
      <w:b/>
      <w:bCs/>
      <w:lang w:val="en-US" w:eastAsia="en-US"/>
    </w:rPr>
  </w:style>
  <w:style w:type="character" w:styleId="893">
    <w:name w:val="Тема примечания Знак"/>
    <w:next w:val="893"/>
    <w:link w:val="892"/>
    <w:rPr>
      <w:b/>
      <w:bCs/>
    </w:rPr>
  </w:style>
  <w:style w:type="paragraph" w:styleId="894">
    <w:name w:val="ConsPlusNormal"/>
    <w:next w:val="894"/>
    <w:link w:val="874"/>
    <w:pPr>
      <w:widowControl w:val="off"/>
    </w:pPr>
    <w:rPr>
      <w:sz w:val="28"/>
      <w:lang w:val="ru-RU" w:eastAsia="ru-RU" w:bidi="ar-SA"/>
    </w:rPr>
  </w:style>
  <w:style w:type="character" w:styleId="895">
    <w:name w:val="Гиперссылка"/>
    <w:next w:val="895"/>
    <w:link w:val="874"/>
    <w:rPr>
      <w:color w:val="0563c1"/>
      <w:u w:val="single"/>
    </w:rPr>
  </w:style>
  <w:style w:type="character" w:styleId="896" w:default="1">
    <w:name w:val="Default Paragraph Font"/>
    <w:uiPriority w:val="1"/>
    <w:semiHidden/>
    <w:unhideWhenUsed/>
  </w:style>
  <w:style w:type="numbering" w:styleId="897" w:default="1">
    <w:name w:val="No List"/>
    <w:uiPriority w:val="99"/>
    <w:semiHidden/>
    <w:unhideWhenUsed/>
  </w:style>
  <w:style w:type="table" w:styleId="8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Администрация г. Уссурийск</Company>
  <DocSecurity>0</DocSecurity>
  <HyperlinksChanged>false</HyperlinksChanged>
  <ScaleCrop>false</ScaleCrop>
  <SharedDoc>false</SharedDoc>
  <Template>УПР. ЭКОНОМИКИ - УГЛОВОЙ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5</cp:revision>
  <dcterms:created xsi:type="dcterms:W3CDTF">2021-07-19T04:45:00Z</dcterms:created>
  <dcterms:modified xsi:type="dcterms:W3CDTF">2024-06-02T23:35:14Z</dcterms:modified>
  <cp:version>786432</cp:version>
</cp:coreProperties>
</file>