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tblpY="-412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4111"/>
        <w:gridCol w:w="2696"/>
      </w:tblGrid>
      <w:tr w:rsidR="003F3CD2" w:rsidTr="003F3CD2">
        <w:tc>
          <w:tcPr>
            <w:tcW w:w="9388" w:type="dxa"/>
            <w:gridSpan w:val="3"/>
          </w:tcPr>
          <w:p w:rsidR="003F3CD2" w:rsidRDefault="003F3CD2" w:rsidP="003F3CD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</w:rPr>
              <w:drawing>
                <wp:inline distT="0" distB="0" distL="0" distR="0" wp14:anchorId="6D8DDB96" wp14:editId="762E0199">
                  <wp:extent cx="493200" cy="619200"/>
                  <wp:effectExtent l="6350" t="6350" r="6350" b="6350"/>
                  <wp:docPr id="2" name="Рисунок 2" descr="111g2060_ussuriy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70119" name="Picture 1" descr="111g2060_ussuriysk_city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493200" cy="6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CD2" w:rsidTr="003F3CD2">
        <w:trPr>
          <w:trHeight w:val="250"/>
        </w:trPr>
        <w:tc>
          <w:tcPr>
            <w:tcW w:w="9388" w:type="dxa"/>
            <w:gridSpan w:val="3"/>
          </w:tcPr>
          <w:p w:rsidR="003F3CD2" w:rsidRDefault="003F3CD2" w:rsidP="003F3CD2"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АДМИНИСТРАЦИЯ</w:t>
            </w:r>
          </w:p>
          <w:p w:rsidR="003F3CD2" w:rsidRDefault="003F3CD2" w:rsidP="003F3CD2"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УССУРИЙСКОГО ГОРОДСКОГО ОКРУГА</w:t>
            </w:r>
          </w:p>
          <w:p w:rsidR="003F3CD2" w:rsidRDefault="003F3CD2" w:rsidP="003F3CD2">
            <w:pPr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ПРИМОРСКОГО КРАЯ</w:t>
            </w:r>
          </w:p>
          <w:p w:rsidR="003F3CD2" w:rsidRDefault="003F3CD2" w:rsidP="003F3CD2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spacing w:val="17"/>
                <w:sz w:val="28"/>
                <w:szCs w:val="28"/>
              </w:rPr>
              <w:t>ПОСТАНОВЛЕНИЕ</w:t>
            </w:r>
          </w:p>
        </w:tc>
      </w:tr>
      <w:tr w:rsidR="003F3CD2" w:rsidTr="003F3CD2">
        <w:trPr>
          <w:trHeight w:val="483"/>
        </w:trPr>
        <w:tc>
          <w:tcPr>
            <w:tcW w:w="2581" w:type="dxa"/>
            <w:tcBorders>
              <w:bottom w:val="single" w:sz="4" w:space="0" w:color="auto"/>
            </w:tcBorders>
            <w:vAlign w:val="bottom"/>
          </w:tcPr>
          <w:p w:rsidR="003F3CD2" w:rsidRDefault="003F3CD2" w:rsidP="003F3CD2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ans" w:eastAsia="Liberation Sans" w:hAnsi="Liberation Sans" w:cs="Liberation Sans"/>
                  <w:color w:val="FFFFFF" w:themeColor="background1"/>
                  <w:sz w:val="24"/>
                  <w:szCs w:val="24"/>
                </w:rPr>
                <w:alias w:val="Дата исходящего"/>
                <w:tag w:val="Дата-исх"/>
                <w:id w:val="-1428966790"/>
                <w:placeholder>
                  <w:docPart w:val="F2F703A9061344CA916B7DB72066E9F3"/>
                </w:placeholder>
              </w:sdtPr>
              <w:sdtContent>
                <w:r>
                  <w:rPr>
                    <w:rFonts w:ascii="Segoe UI Symbol" w:eastAsia="Liberation Sans" w:hAnsi="Segoe UI Symbol" w:cs="Segoe UI Symbol"/>
                    <w:color w:val="FFFFFF" w:themeColor="background1"/>
                    <w:sz w:val="24"/>
                    <w:szCs w:val="24"/>
                  </w:rPr>
                  <w:t>⚓</w:t>
                </w:r>
                <w:r>
                  <w:rPr>
                    <w:rFonts w:ascii="Liberation Sans" w:eastAsia="Liberation Sans" w:hAnsi="Liberation Sans" w:cs="Liberation Sans"/>
                    <w:color w:val="FFFFFF" w:themeColor="background1"/>
                    <w:sz w:val="24"/>
                    <w:szCs w:val="24"/>
                  </w:rPr>
                  <w:t>1^</w:t>
                </w:r>
              </w:sdtContent>
            </w:sdt>
          </w:p>
        </w:tc>
        <w:tc>
          <w:tcPr>
            <w:tcW w:w="4111" w:type="dxa"/>
            <w:vAlign w:val="bottom"/>
          </w:tcPr>
          <w:p w:rsidR="003F3CD2" w:rsidRDefault="003F3CD2" w:rsidP="003F3CD2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vAlign w:val="bottom"/>
          </w:tcPr>
          <w:p w:rsidR="003F3CD2" w:rsidRDefault="003F3CD2" w:rsidP="003F3CD2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sdt>
              <w:sdtPr>
                <w:rPr>
                  <w:rFonts w:ascii="Liberation Sans" w:eastAsia="Liberation Sans" w:hAnsi="Liberation Sans" w:cs="Liberation Sans"/>
                  <w:color w:val="FFFFFF" w:themeColor="background1"/>
                  <w:sz w:val="24"/>
                  <w:szCs w:val="24"/>
                </w:rPr>
                <w:alias w:val="Номер исходящего"/>
                <w:tag w:val="Номер-исх"/>
                <w:id w:val="1640916305"/>
                <w:placeholder>
                  <w:docPart w:val="031B9B30DEEF4FD6AE944564031EB896"/>
                </w:placeholder>
              </w:sdtPr>
              <w:sdtContent>
                <w:r>
                  <w:rPr>
                    <w:rFonts w:ascii="Segoe UI Symbol" w:eastAsia="Liberation Sans" w:hAnsi="Segoe UI Symbol" w:cs="Segoe UI Symbol"/>
                    <w:color w:val="FFFFFF" w:themeColor="background1"/>
                    <w:sz w:val="24"/>
                    <w:szCs w:val="24"/>
                  </w:rPr>
                  <w:t>⚓</w:t>
                </w:r>
                <w:r>
                  <w:rPr>
                    <w:rFonts w:ascii="Liberation Sans" w:eastAsia="Liberation Sans" w:hAnsi="Liberation Sans" w:cs="Liberation Sans"/>
                    <w:color w:val="FFFFFF" w:themeColor="background1"/>
                    <w:sz w:val="24"/>
                    <w:szCs w:val="24"/>
                  </w:rPr>
                  <w:t>2^</w:t>
                </w:r>
              </w:sdtContent>
            </w:sdt>
          </w:p>
        </w:tc>
      </w:tr>
    </w:tbl>
    <w:sdt>
      <w:sdtPr>
        <w:alias w:val="Тема"/>
        <w:tag w:val="Тема"/>
        <w:id w:val="-1894415760"/>
        <w:placeholder>
          <w:docPart w:val="E3D8D1686C2A413FAA1D795E97D077A0"/>
        </w:placeholder>
      </w:sdtPr>
      <w:sdtEndPr/>
      <w:sdtContent>
        <w:p w:rsidR="003F3CD2" w:rsidRDefault="003F3CD2" w:rsidP="00C47B32">
          <w:pPr>
            <w:pStyle w:val="a5"/>
          </w:pPr>
        </w:p>
        <w:p w:rsidR="003F3CD2" w:rsidRPr="003F3CD2" w:rsidRDefault="003F3CD2" w:rsidP="003F3CD2">
          <w:pPr>
            <w:spacing w:line="360" w:lineRule="auto"/>
            <w:jc w:val="center"/>
            <w:rPr>
              <w:rFonts w:ascii="Liberation Serif" w:hAnsi="Liberation Serif" w:cs="Liberation Serif"/>
              <w:sz w:val="28"/>
              <w:szCs w:val="28"/>
            </w:rPr>
          </w:pPr>
          <w:r>
            <w:rPr>
              <w:rFonts w:ascii="Liberation Serif" w:hAnsi="Liberation Serif" w:cs="Liberation Serif"/>
              <w:sz w:val="28"/>
              <w:szCs w:val="28"/>
            </w:rPr>
            <w:t>г. Уссурийск</w:t>
          </w:r>
        </w:p>
        <w:p w:rsidR="00C47B32" w:rsidRDefault="00C47B32" w:rsidP="00C47B32">
          <w:pPr>
            <w:pStyle w:val="a5"/>
          </w:pPr>
          <w:r>
            <w:t xml:space="preserve">О внесении изменений </w:t>
          </w:r>
          <w:proofErr w:type="gramStart"/>
          <w:r>
            <w:t>в</w:t>
          </w:r>
          <w:proofErr w:type="gramEnd"/>
        </w:p>
        <w:p w:rsidR="00C47B32" w:rsidRDefault="00C47B32" w:rsidP="00C47B32">
          <w:pPr>
            <w:pStyle w:val="a5"/>
          </w:pPr>
          <w:r>
            <w:t>постановление администрации</w:t>
          </w:r>
        </w:p>
        <w:p w:rsidR="00C47B32" w:rsidRDefault="00C47B32" w:rsidP="00C47B32">
          <w:pPr>
            <w:pStyle w:val="a5"/>
          </w:pPr>
          <w:r>
            <w:t xml:space="preserve">Уссурийского городского округа от 16 октября 2019 года </w:t>
          </w:r>
        </w:p>
        <w:p w:rsidR="00C47B32" w:rsidRDefault="00C47B32" w:rsidP="00C47B32">
          <w:pPr>
            <w:pStyle w:val="a5"/>
          </w:pPr>
          <w:r>
            <w:t>№ 2442-НПА «Об утверждении</w:t>
          </w:r>
        </w:p>
        <w:p w:rsidR="00C47B32" w:rsidRDefault="00C47B32" w:rsidP="00C47B32">
          <w:pPr>
            <w:pStyle w:val="a5"/>
          </w:pPr>
          <w:r>
            <w:t>муниципальной программы</w:t>
          </w:r>
        </w:p>
        <w:p w:rsidR="00C47B32" w:rsidRDefault="00C47B32" w:rsidP="00C47B32">
          <w:pPr>
            <w:pStyle w:val="a5"/>
          </w:pPr>
          <w:r>
            <w:t xml:space="preserve">«Переселение граждан </w:t>
          </w:r>
          <w:proofErr w:type="gramStart"/>
          <w:r>
            <w:t>из</w:t>
          </w:r>
          <w:proofErr w:type="gramEnd"/>
        </w:p>
        <w:p w:rsidR="00C47B32" w:rsidRDefault="00C47B32" w:rsidP="00C47B32">
          <w:pPr>
            <w:pStyle w:val="a5"/>
          </w:pPr>
          <w:r>
            <w:t xml:space="preserve">аварийного жилищного фонда </w:t>
          </w:r>
          <w:proofErr w:type="gramStart"/>
          <w:r>
            <w:t>в</w:t>
          </w:r>
          <w:proofErr w:type="gramEnd"/>
        </w:p>
        <w:p w:rsidR="00C47B32" w:rsidRPr="00AA7993" w:rsidRDefault="00C47B32" w:rsidP="00C47B32">
          <w:pPr>
            <w:pStyle w:val="a5"/>
          </w:pPr>
          <w:proofErr w:type="gramStart"/>
          <w:r>
            <w:t>Уссурийском городском округе» на 2019 – 2025 годы</w:t>
          </w:r>
          <w:proofErr w:type="gramEnd"/>
        </w:p>
      </w:sdtContent>
    </w:sdt>
    <w:p w:rsidR="00C47B32" w:rsidRPr="00B0112A" w:rsidRDefault="00C47B32" w:rsidP="00C47B32">
      <w:pPr>
        <w:ind w:right="5385"/>
        <w:rPr>
          <w:sz w:val="28"/>
          <w:szCs w:val="28"/>
        </w:rPr>
      </w:pPr>
    </w:p>
    <w:p w:rsidR="00C47B32" w:rsidRPr="00B0112A" w:rsidRDefault="00C47B32" w:rsidP="00C47B32">
      <w:pPr>
        <w:rPr>
          <w:sz w:val="28"/>
          <w:szCs w:val="28"/>
        </w:rPr>
      </w:pPr>
    </w:p>
    <w:sdt>
      <w:sdtPr>
        <w:alias w:val="Текст"/>
        <w:tag w:val="Текст"/>
        <w:id w:val="47883286"/>
        <w:placeholder>
          <w:docPart w:val="E3D8D1686C2A413FAA1D795E97D077A0"/>
        </w:placeholder>
      </w:sdtPr>
      <w:sdtEndPr/>
      <w:sdtContent>
        <w:p w:rsidR="00C47B32" w:rsidRDefault="00C47B32" w:rsidP="00C51F15">
          <w:pPr>
            <w:pStyle w:val="a6"/>
          </w:pPr>
          <w:proofErr w:type="gramStart"/>
          <w:r>
            <w:t xml:space="preserve">В соответствии с Жилищным кодексом Российской Федерации,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Федеральным законом от 21 июля 2007 года № 185-ФЗ «О Фонде содействия реформированию жилищно-коммунального хозяйства», Законом Приморского края от </w:t>
          </w:r>
          <w:r w:rsidR="0082233B">
            <w:t>20</w:t>
          </w:r>
          <w:r>
            <w:t xml:space="preserve"> </w:t>
          </w:r>
          <w:r w:rsidR="0082233B">
            <w:t>декабря 2022</w:t>
          </w:r>
          <w:r>
            <w:t xml:space="preserve"> года № </w:t>
          </w:r>
          <w:r w:rsidR="0082233B">
            <w:t>253</w:t>
          </w:r>
          <w:r>
            <w:t>-КЗ «О краевом бюджете на 2023 год и</w:t>
          </w:r>
          <w:proofErr w:type="gramEnd"/>
          <w:r>
            <w:t xml:space="preserve"> </w:t>
          </w:r>
          <w:proofErr w:type="gramStart"/>
          <w:r>
            <w:t>плановый период 2024 и 2025 годов», Постановлением Администрации Приморского края от 09 апреля 2019 года № 217-па</w:t>
          </w:r>
          <w:r w:rsidR="00C51F15">
            <w:t xml:space="preserve"> </w:t>
          </w:r>
          <w:r>
            <w:t>«Об утверждении региональной адресной программы «Переселение граждан из аварийного жилищного фонда в Приморском крае</w:t>
          </w:r>
          <w:r w:rsidR="0082233B">
            <w:t>» на 2019-2024</w:t>
          </w:r>
          <w:r w:rsidR="006C2CBB">
            <w:t xml:space="preserve"> годы», </w:t>
          </w:r>
          <w:r>
            <w:t>руководствуясь статьей 56 Устава Уссурийского городского округа, постановлением администрации Уссурийского городского округа от 31 марта 2015 года № 895-НПА «Об утверждении Порядка разработки, реализации и оценки эффективности муниципальных</w:t>
          </w:r>
          <w:proofErr w:type="gramEnd"/>
          <w:r>
            <w:t xml:space="preserve"> </w:t>
          </w:r>
          <w:proofErr w:type="gramStart"/>
          <w:r>
            <w:t xml:space="preserve">программ Уссурийского городского </w:t>
          </w:r>
          <w:r>
            <w:lastRenderedPageBreak/>
            <w:t>округа и о признании утратившими силу некоторых нормативных правовых актов администрации Уссурийского городского округа</w:t>
          </w:r>
          <w:r w:rsidR="001D1C17">
            <w:t xml:space="preserve">», </w:t>
          </w:r>
          <w:r>
            <w:t>с целью уточнения объемов финансирования</w:t>
          </w:r>
          <w:r w:rsidR="006C2CBB">
            <w:t xml:space="preserve"> </w:t>
          </w:r>
          <w:r w:rsidR="001D1C17">
            <w:t>и распределения между источни</w:t>
          </w:r>
          <w:r w:rsidR="0082233B">
            <w:t>ками, а также актуализации текстовой части муниципальной программы</w:t>
          </w:r>
          <w:proofErr w:type="gramEnd"/>
        </w:p>
        <w:p w:rsidR="00EE4C13" w:rsidRDefault="00EE4C13" w:rsidP="003F3CD2">
          <w:pPr>
            <w:pStyle w:val="a6"/>
            <w:ind w:firstLine="0"/>
          </w:pPr>
        </w:p>
        <w:p w:rsidR="00C47B32" w:rsidRDefault="00C47B32" w:rsidP="00EE4C13">
          <w:pPr>
            <w:pStyle w:val="a6"/>
            <w:ind w:firstLine="0"/>
          </w:pPr>
          <w:r>
            <w:t>ПОСТАНОВЛЯЕТ:</w:t>
          </w:r>
        </w:p>
        <w:p w:rsidR="00C47B32" w:rsidRDefault="00C47B32" w:rsidP="00C47B32">
          <w:pPr>
            <w:pStyle w:val="a6"/>
          </w:pPr>
          <w:r>
            <w:t>1. Внести в постановление администрации Уссурийского городского округа от 16 октября 2019 года № 2442-НПА «Об утверждении муниципальной программы «Переселение граждан из аварийного жилищного фонда в Уссурийском городском округе» на 2019-2025 годы» (далее - постановление) следующие изменения:</w:t>
          </w:r>
        </w:p>
        <w:p w:rsidR="00C47B32" w:rsidRDefault="00C47B32" w:rsidP="00C47B32">
          <w:pPr>
            <w:pStyle w:val="a6"/>
          </w:pPr>
          <w:r>
            <w:t>в муниципальной программе «Переселение граждан из аварийного жилищного фонда в Уссурийском городском округе» на 2019 - 2025 годы», утвержденной постановлением (далее - Программа):</w:t>
          </w:r>
        </w:p>
        <w:p w:rsidR="00C47B32" w:rsidRDefault="00C47B32" w:rsidP="00C47B32">
          <w:pPr>
            <w:pStyle w:val="a6"/>
          </w:pPr>
          <w:r>
            <w:t>а) в Паспорте Программы:</w:t>
          </w:r>
        </w:p>
        <w:p w:rsidR="00C47B32" w:rsidRDefault="00C47B32" w:rsidP="00C47B32">
          <w:pPr>
            <w:pStyle w:val="a6"/>
          </w:pPr>
          <w:r>
            <w:t xml:space="preserve">раздел «Объем бюджетных ассигнований муниципальной программы </w:t>
          </w:r>
          <w:r w:rsidR="00842943">
            <w:br/>
          </w:r>
          <w:bookmarkStart w:id="0" w:name="_GoBack"/>
          <w:bookmarkEnd w:id="0"/>
          <w:r>
            <w:t>(с расшифровкой по годам и источникам финансирования)» изложить в следующей редакции:</w:t>
          </w:r>
        </w:p>
        <w:p w:rsidR="003F3CD2" w:rsidRDefault="003F3CD2" w:rsidP="003F3CD2">
          <w:pPr>
            <w:pStyle w:val="a6"/>
          </w:pPr>
          <w:r>
            <w:t>«Общий объем финансирования мероприятий муниципальной программы составляет 6</w:t>
          </w:r>
          <w:r w:rsidR="00C51F15">
            <w:t> 098 390,52</w:t>
          </w:r>
          <w:r>
            <w:t xml:space="preserve"> тыс. рублей, в том числе:</w:t>
          </w:r>
        </w:p>
        <w:p w:rsidR="003F3CD2" w:rsidRDefault="003F3CD2" w:rsidP="003F3CD2">
          <w:pPr>
            <w:pStyle w:val="a6"/>
          </w:pPr>
          <w:r>
            <w:t xml:space="preserve">средства местного бюджета в сумме </w:t>
          </w:r>
          <w:r>
            <w:t>615 995,38</w:t>
          </w:r>
          <w:r>
            <w:t xml:space="preserve"> тыс. рублей, в том числе по годам:</w:t>
          </w:r>
        </w:p>
        <w:p w:rsidR="003F3CD2" w:rsidRDefault="003F3CD2" w:rsidP="003F3CD2">
          <w:pPr>
            <w:pStyle w:val="a6"/>
          </w:pPr>
          <w:r>
            <w:t>2019 год – 0,00 тыс. рублей;</w:t>
          </w:r>
        </w:p>
        <w:p w:rsidR="003F3CD2" w:rsidRDefault="003F3CD2" w:rsidP="003F3CD2">
          <w:pPr>
            <w:pStyle w:val="a6"/>
          </w:pPr>
          <w:r>
            <w:t>2020 год – 11 346,25 тыс. рублей;</w:t>
          </w:r>
        </w:p>
        <w:p w:rsidR="003F3CD2" w:rsidRDefault="003F3CD2" w:rsidP="003F3CD2">
          <w:pPr>
            <w:pStyle w:val="a6"/>
          </w:pPr>
          <w:r>
            <w:t>2021 год – 70 467,59 тыс. рублей;</w:t>
          </w:r>
        </w:p>
        <w:p w:rsidR="003F3CD2" w:rsidRDefault="003F3CD2" w:rsidP="003F3CD2">
          <w:pPr>
            <w:pStyle w:val="a6"/>
          </w:pPr>
          <w:r>
            <w:t>2022 год – 144 758,94 тыс. рублей;</w:t>
          </w:r>
        </w:p>
        <w:p w:rsidR="003F3CD2" w:rsidRDefault="003F3CD2" w:rsidP="003F3CD2">
          <w:pPr>
            <w:pStyle w:val="a6"/>
          </w:pPr>
          <w:r>
            <w:t>2023 год – 250 817,35 тыс. рублей;</w:t>
          </w:r>
        </w:p>
        <w:p w:rsidR="003F3CD2" w:rsidRDefault="003F3CD2" w:rsidP="003F3CD2">
          <w:pPr>
            <w:pStyle w:val="a6"/>
          </w:pPr>
          <w:r>
            <w:t xml:space="preserve">2024 год – </w:t>
          </w:r>
          <w:r>
            <w:t>123 605,25</w:t>
          </w:r>
          <w:r>
            <w:t xml:space="preserve"> тыс. рублей;</w:t>
          </w:r>
        </w:p>
        <w:p w:rsidR="003F3CD2" w:rsidRDefault="003F3CD2" w:rsidP="003F3CD2">
          <w:pPr>
            <w:pStyle w:val="a6"/>
          </w:pPr>
          <w:r>
            <w:t>2025 год – 15 000,00 тыс. рублей;</w:t>
          </w:r>
        </w:p>
        <w:p w:rsidR="00C47B32" w:rsidRDefault="00C47B32" w:rsidP="00C47B32">
          <w:pPr>
            <w:pStyle w:val="a6"/>
          </w:pPr>
          <w:r>
            <w:lastRenderedPageBreak/>
            <w:t>средства государственных внебюджетных фондов (государственная корпорация Фонд содействия реформированию жилищно-коммунального хозяйства, далее - Фонд) в сумме 4</w:t>
          </w:r>
          <w:r w:rsidR="00653CE9">
            <w:t> 451 186,06</w:t>
          </w:r>
          <w:r>
            <w:t xml:space="preserve"> тыс. рублей, в том числе по годам:</w:t>
          </w:r>
        </w:p>
        <w:p w:rsidR="00C47B32" w:rsidRDefault="00C47B32" w:rsidP="00C47B32">
          <w:pPr>
            <w:pStyle w:val="a6"/>
          </w:pPr>
          <w:r>
            <w:t>2019 год – 0,00 тыс. рублей;</w:t>
          </w:r>
        </w:p>
        <w:p w:rsidR="00C47B32" w:rsidRDefault="00C47B32" w:rsidP="00C47B32">
          <w:pPr>
            <w:pStyle w:val="a6"/>
          </w:pPr>
          <w:r>
            <w:t>2020 год – 74 950,50 тыс. рублей;</w:t>
          </w:r>
        </w:p>
        <w:p w:rsidR="00C47B32" w:rsidRDefault="00C47B32" w:rsidP="00C47B32">
          <w:pPr>
            <w:pStyle w:val="a6"/>
          </w:pPr>
          <w:r>
            <w:t>2021 год – 1 039 254,45 тыс. рублей;</w:t>
          </w:r>
        </w:p>
        <w:p w:rsidR="00C47B32" w:rsidRDefault="00C47B32" w:rsidP="00C47B32">
          <w:pPr>
            <w:pStyle w:val="a6"/>
          </w:pPr>
          <w:r>
            <w:t>2022 год – 2 087 049,53 тыс. рублей;</w:t>
          </w:r>
        </w:p>
        <w:p w:rsidR="00C47B32" w:rsidRDefault="00C47B32" w:rsidP="00C47B32">
          <w:pPr>
            <w:pStyle w:val="a6"/>
          </w:pPr>
          <w:r>
            <w:t xml:space="preserve">2023 год – 1 </w:t>
          </w:r>
          <w:r w:rsidR="00981A2E">
            <w:t>249</w:t>
          </w:r>
          <w:r>
            <w:t xml:space="preserve"> </w:t>
          </w:r>
          <w:r w:rsidR="00981A2E">
            <w:t>931</w:t>
          </w:r>
          <w:r>
            <w:t>,</w:t>
          </w:r>
          <w:r w:rsidR="00F331BC">
            <w:t>58</w:t>
          </w:r>
          <w:r>
            <w:t xml:space="preserve"> тыс. рублей;</w:t>
          </w:r>
        </w:p>
        <w:p w:rsidR="00C47B32" w:rsidRDefault="0082233B" w:rsidP="00C47B32">
          <w:pPr>
            <w:pStyle w:val="a6"/>
          </w:pPr>
          <w:r>
            <w:t xml:space="preserve">2024 год – </w:t>
          </w:r>
          <w:r w:rsidR="00C47B32">
            <w:t xml:space="preserve"> </w:t>
          </w:r>
          <w:r w:rsidR="00653CE9">
            <w:t xml:space="preserve">0,00 </w:t>
          </w:r>
          <w:r w:rsidR="00C47B32">
            <w:t>тыс. рублей;</w:t>
          </w:r>
        </w:p>
        <w:p w:rsidR="00C47B32" w:rsidRDefault="00C47B32" w:rsidP="00C47B32">
          <w:pPr>
            <w:pStyle w:val="a6"/>
          </w:pPr>
          <w:r>
            <w:t>2025 год – 0,00 тыс. рублей;</w:t>
          </w:r>
        </w:p>
        <w:p w:rsidR="00C47B32" w:rsidRDefault="00C47B32" w:rsidP="00C47B32">
          <w:pPr>
            <w:pStyle w:val="a6"/>
          </w:pPr>
          <w:r>
            <w:t xml:space="preserve">средства краевого бюджета в сумме </w:t>
          </w:r>
          <w:r w:rsidR="000B2BBC">
            <w:t>1 031 209,08</w:t>
          </w:r>
          <w:r>
            <w:t xml:space="preserve"> тыс. рублей, в том числе по годам:</w:t>
          </w:r>
        </w:p>
        <w:p w:rsidR="00C47B32" w:rsidRDefault="00C47B32" w:rsidP="00C47B32">
          <w:pPr>
            <w:pStyle w:val="a6"/>
          </w:pPr>
          <w:r>
            <w:t>2019 год – 0,00 тыс. рублей;</w:t>
          </w:r>
        </w:p>
        <w:p w:rsidR="00C47B32" w:rsidRDefault="00C47B32" w:rsidP="00C47B32">
          <w:pPr>
            <w:pStyle w:val="a6"/>
          </w:pPr>
          <w:r>
            <w:t>2020 год – 26 464,19 тыс. рублей;</w:t>
          </w:r>
        </w:p>
        <w:p w:rsidR="00C47B32" w:rsidRDefault="00C47B32" w:rsidP="00C47B32">
          <w:pPr>
            <w:pStyle w:val="a6"/>
          </w:pPr>
          <w:r>
            <w:t>2021 год – 311 270,51 тыс. рублей;</w:t>
          </w:r>
        </w:p>
        <w:p w:rsidR="00C47B32" w:rsidRDefault="00C47B32" w:rsidP="00C47B32">
          <w:pPr>
            <w:pStyle w:val="a6"/>
          </w:pPr>
          <w:r>
            <w:t>2022 год – 222 055,32 тыс. рублей;</w:t>
          </w:r>
        </w:p>
        <w:p w:rsidR="00C47B32" w:rsidRDefault="00C47B32" w:rsidP="00C47B32">
          <w:pPr>
            <w:pStyle w:val="a6"/>
          </w:pPr>
          <w:r>
            <w:t xml:space="preserve">2023 год – </w:t>
          </w:r>
          <w:r w:rsidR="00F331BC">
            <w:t>134 130,62</w:t>
          </w:r>
          <w:r>
            <w:t xml:space="preserve"> тыс. рублей;</w:t>
          </w:r>
        </w:p>
        <w:p w:rsidR="00C47B32" w:rsidRDefault="000B2BBC" w:rsidP="00C47B32">
          <w:pPr>
            <w:pStyle w:val="a6"/>
          </w:pPr>
          <w:r>
            <w:t>2024 год – 337 288,44</w:t>
          </w:r>
          <w:r w:rsidR="00C47B32">
            <w:t xml:space="preserve"> тыс. рублей;</w:t>
          </w:r>
        </w:p>
        <w:p w:rsidR="00C47B32" w:rsidRDefault="00C47B32" w:rsidP="00C47B32">
          <w:pPr>
            <w:pStyle w:val="a6"/>
          </w:pPr>
          <w:r>
            <w:t>2025 год – 0,00 тыс. рублей»;</w:t>
          </w:r>
        </w:p>
        <w:p w:rsidR="00C47B32" w:rsidRDefault="00032F79" w:rsidP="00315B05">
          <w:pPr>
            <w:pStyle w:val="a6"/>
          </w:pPr>
          <w:r>
            <w:t>в</w:t>
          </w:r>
          <w:r w:rsidR="00F817F8">
            <w:t xml:space="preserve">) </w:t>
          </w:r>
          <w:r w:rsidR="00C47B32">
            <w:t>Приложение № 1 «Перечень мероприятий муниципальной программы «Переселение граждан из аварийного жилищного фонда в Уссурийском городском округе» на 2019-2025 годы» к Программе изложить в новой редакции (прилагается);</w:t>
          </w:r>
        </w:p>
        <w:p w:rsidR="00540D8B" w:rsidRPr="00540D8B" w:rsidRDefault="00F817F8" w:rsidP="00540D8B">
          <w:pPr>
            <w:pStyle w:val="a6"/>
          </w:pPr>
          <w:r>
            <w:t>г</w:t>
          </w:r>
          <w:r w:rsidR="00540D8B">
            <w:t>) Приложение № 2 «</w:t>
          </w:r>
          <w:r w:rsidR="00540D8B" w:rsidRPr="00540D8B">
            <w:t>Перечень</w:t>
          </w:r>
          <w:r w:rsidR="00540D8B">
            <w:t xml:space="preserve"> </w:t>
          </w:r>
          <w:r w:rsidR="00540D8B" w:rsidRPr="00540D8B">
            <w:t>показателей (индикаторов) муниципальной программы</w:t>
          </w:r>
          <w:r w:rsidR="00540D8B">
            <w:t xml:space="preserve"> </w:t>
          </w:r>
          <w:r w:rsidR="00540D8B" w:rsidRPr="00540D8B">
            <w:t>«Переселение граждан из аварийного жилищного фонда</w:t>
          </w:r>
          <w:r w:rsidR="00540D8B">
            <w:t xml:space="preserve"> </w:t>
          </w:r>
          <w:r w:rsidR="00540D8B" w:rsidRPr="00540D8B">
            <w:t>в Уссурийском городском округе» на 2019 - 2025 годы</w:t>
          </w:r>
          <w:r w:rsidR="00540D8B">
            <w:t>» к Программе изложить в новой редакции (прилагается);</w:t>
          </w:r>
        </w:p>
        <w:p w:rsidR="00C47B32" w:rsidRDefault="00F817F8" w:rsidP="00C47B32">
          <w:pPr>
            <w:pStyle w:val="a6"/>
          </w:pPr>
          <w:r>
            <w:t>д</w:t>
          </w:r>
          <w:r w:rsidR="00C47B32">
            <w:t xml:space="preserve">) Приложение № 3 «Финансовое обеспечение муниципальной программы «Переселение граждан из аварийного жилищного фонда в </w:t>
          </w:r>
          <w:r w:rsidR="00C47B32">
            <w:lastRenderedPageBreak/>
            <w:t>Уссурийском городском округе» на 2019-2025 годы» к Программе изложить в новой редакции (прилагается).</w:t>
          </w:r>
        </w:p>
        <w:p w:rsidR="00C47B32" w:rsidRDefault="00C47B32" w:rsidP="00C47B32">
          <w:pPr>
            <w:pStyle w:val="a6"/>
          </w:pPr>
          <w:r>
            <w:t>2. Управлению делами аппарата администрации Уссурийского городского округа (Болтенко) разместить настоящее постановление на официальном сайте администрации Уссурийского городского округа.</w:t>
          </w:r>
        </w:p>
        <w:p w:rsidR="00C47B32" w:rsidRDefault="00C47B32" w:rsidP="00C47B32">
          <w:pPr>
            <w:pStyle w:val="a6"/>
          </w:pPr>
          <w:r>
            <w:t>3. </w:t>
          </w:r>
          <w:r w:rsidR="00155F81">
            <w:t>Управлению культуры</w:t>
          </w:r>
          <w:r>
            <w:t xml:space="preserve"> администрации Уссурийского городского округа</w:t>
          </w:r>
          <w:r w:rsidR="00155F81">
            <w:t xml:space="preserve"> (Тесленко)</w:t>
          </w:r>
          <w:r>
            <w:t xml:space="preserve"> опубликовать настоящее постановление в средствах массовой информации.</w:t>
          </w:r>
        </w:p>
        <w:p w:rsidR="00C47B32" w:rsidRDefault="00C47B32" w:rsidP="00C47B32">
          <w:pPr>
            <w:pStyle w:val="a6"/>
          </w:pPr>
        </w:p>
        <w:p w:rsidR="00F817F8" w:rsidRDefault="00F817F8" w:rsidP="00C47B32">
          <w:pPr>
            <w:pStyle w:val="a6"/>
          </w:pPr>
        </w:p>
        <w:p w:rsidR="00C47B32" w:rsidRDefault="00C47B32" w:rsidP="00C47B32">
          <w:pPr>
            <w:pStyle w:val="a6"/>
            <w:spacing w:line="240" w:lineRule="auto"/>
            <w:ind w:firstLine="0"/>
          </w:pPr>
          <w:r>
            <w:t xml:space="preserve">Глава </w:t>
          </w:r>
          <w:proofErr w:type="gramStart"/>
          <w:r>
            <w:t>Уссурийского</w:t>
          </w:r>
          <w:proofErr w:type="gramEnd"/>
          <w:r>
            <w:t xml:space="preserve"> </w:t>
          </w:r>
        </w:p>
        <w:p w:rsidR="00C47B32" w:rsidRPr="00B0112A" w:rsidRDefault="00C47B32" w:rsidP="00C47B32">
          <w:pPr>
            <w:pStyle w:val="a6"/>
            <w:spacing w:line="240" w:lineRule="auto"/>
            <w:ind w:firstLine="0"/>
          </w:pPr>
          <w:r>
            <w:t>городского округа                                                                                    Е.Е. Корж</w:t>
          </w:r>
        </w:p>
      </w:sdtContent>
    </w:sdt>
    <w:p w:rsidR="00C47B32" w:rsidRPr="00B0112A" w:rsidRDefault="00C47B32" w:rsidP="00C47B32">
      <w:pPr>
        <w:rPr>
          <w:sz w:val="28"/>
          <w:szCs w:val="28"/>
        </w:rPr>
      </w:pPr>
    </w:p>
    <w:p w:rsidR="00C47B32" w:rsidRDefault="00C47B32" w:rsidP="00C47B32">
      <w:pPr>
        <w:rPr>
          <w:sz w:val="28"/>
          <w:szCs w:val="28"/>
        </w:rPr>
      </w:pPr>
    </w:p>
    <w:p w:rsidR="00C47B32" w:rsidRDefault="00C47B32" w:rsidP="00C47B32">
      <w:pPr>
        <w:rPr>
          <w:sz w:val="28"/>
          <w:szCs w:val="28"/>
        </w:rPr>
      </w:pPr>
    </w:p>
    <w:p w:rsidR="00C47B32" w:rsidRPr="00B0112A" w:rsidRDefault="00C47B32" w:rsidP="00C47B32">
      <w:pPr>
        <w:rPr>
          <w:sz w:val="28"/>
          <w:szCs w:val="28"/>
        </w:rPr>
      </w:pPr>
    </w:p>
    <w:p w:rsidR="00C47B32" w:rsidRPr="00B0112A" w:rsidRDefault="00C47B32" w:rsidP="00C47B32">
      <w:pPr>
        <w:jc w:val="center"/>
        <w:rPr>
          <w:color w:val="FFFFFF" w:themeColor="background1"/>
          <w:sz w:val="28"/>
          <w:szCs w:val="28"/>
        </w:rPr>
      </w:pPr>
      <w:r w:rsidRPr="00B0112A">
        <w:rPr>
          <w:color w:val="FFFFFF" w:themeColor="background1"/>
          <w:sz w:val="28"/>
          <w:szCs w:val="28"/>
        </w:rPr>
        <w:t>$</w:t>
      </w:r>
      <w:proofErr w:type="spellStart"/>
      <w:r w:rsidRPr="00B0112A">
        <w:rPr>
          <w:color w:val="FFFFFF" w:themeColor="background1"/>
          <w:sz w:val="28"/>
          <w:szCs w:val="28"/>
        </w:rPr>
        <w:t>docstamp</w:t>
      </w:r>
      <w:proofErr w:type="spellEnd"/>
      <w:r w:rsidRPr="00B0112A">
        <w:rPr>
          <w:color w:val="FFFFFF" w:themeColor="background1"/>
          <w:sz w:val="28"/>
          <w:szCs w:val="28"/>
        </w:rPr>
        <w:t>$</w:t>
      </w:r>
    </w:p>
    <w:p w:rsidR="00C47B32" w:rsidRPr="00714753" w:rsidRDefault="00C47B32" w:rsidP="00C47B32">
      <w:pPr>
        <w:jc w:val="center"/>
        <w:rPr>
          <w:color w:val="FFFFFF" w:themeColor="background1"/>
          <w:sz w:val="28"/>
          <w:szCs w:val="28"/>
        </w:rPr>
      </w:pPr>
    </w:p>
    <w:p w:rsidR="002E349D" w:rsidRDefault="00807BF7"/>
    <w:sectPr w:rsidR="002E349D" w:rsidSect="00C47B3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F7" w:rsidRDefault="00807BF7" w:rsidP="00B72528">
      <w:r>
        <w:separator/>
      </w:r>
    </w:p>
  </w:endnote>
  <w:endnote w:type="continuationSeparator" w:id="0">
    <w:p w:rsidR="00807BF7" w:rsidRDefault="00807BF7" w:rsidP="00B7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F7" w:rsidRDefault="00807BF7" w:rsidP="00B72528">
      <w:r>
        <w:separator/>
      </w:r>
    </w:p>
  </w:footnote>
  <w:footnote w:type="continuationSeparator" w:id="0">
    <w:p w:rsidR="00807BF7" w:rsidRDefault="00807BF7" w:rsidP="00B72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0182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047D7" w:rsidRPr="006047D7" w:rsidRDefault="008106A0" w:rsidP="006047D7">
        <w:pPr>
          <w:pStyle w:val="a3"/>
          <w:jc w:val="center"/>
          <w:rPr>
            <w:sz w:val="28"/>
            <w:szCs w:val="28"/>
          </w:rPr>
        </w:pPr>
        <w:r w:rsidRPr="006047D7">
          <w:rPr>
            <w:sz w:val="28"/>
            <w:szCs w:val="28"/>
          </w:rPr>
          <w:fldChar w:fldCharType="begin"/>
        </w:r>
        <w:r w:rsidR="00C47B32" w:rsidRPr="006047D7">
          <w:rPr>
            <w:sz w:val="28"/>
            <w:szCs w:val="28"/>
          </w:rPr>
          <w:instrText>PAGE   \* MERGEFORMAT</w:instrText>
        </w:r>
        <w:r w:rsidRPr="006047D7">
          <w:rPr>
            <w:sz w:val="28"/>
            <w:szCs w:val="28"/>
          </w:rPr>
          <w:fldChar w:fldCharType="separate"/>
        </w:r>
        <w:r w:rsidR="00842943">
          <w:rPr>
            <w:noProof/>
            <w:sz w:val="28"/>
            <w:szCs w:val="28"/>
          </w:rPr>
          <w:t>2</w:t>
        </w:r>
        <w:r w:rsidRPr="006047D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B32"/>
    <w:rsid w:val="00032F79"/>
    <w:rsid w:val="0003347C"/>
    <w:rsid w:val="00042AB5"/>
    <w:rsid w:val="000B2BBC"/>
    <w:rsid w:val="00155F81"/>
    <w:rsid w:val="001724ED"/>
    <w:rsid w:val="001D1C17"/>
    <w:rsid w:val="00206357"/>
    <w:rsid w:val="00233183"/>
    <w:rsid w:val="00244C29"/>
    <w:rsid w:val="00246BF5"/>
    <w:rsid w:val="003146E3"/>
    <w:rsid w:val="00315B05"/>
    <w:rsid w:val="003E0EC3"/>
    <w:rsid w:val="003F3CD2"/>
    <w:rsid w:val="004F73CE"/>
    <w:rsid w:val="00500290"/>
    <w:rsid w:val="00540D8B"/>
    <w:rsid w:val="005A1A81"/>
    <w:rsid w:val="00627CA3"/>
    <w:rsid w:val="00653CE9"/>
    <w:rsid w:val="00673E63"/>
    <w:rsid w:val="006C2CBB"/>
    <w:rsid w:val="00774A95"/>
    <w:rsid w:val="007C759C"/>
    <w:rsid w:val="00803906"/>
    <w:rsid w:val="00807BF7"/>
    <w:rsid w:val="008106A0"/>
    <w:rsid w:val="0082233B"/>
    <w:rsid w:val="00842943"/>
    <w:rsid w:val="00981A2E"/>
    <w:rsid w:val="009C743F"/>
    <w:rsid w:val="00A13D93"/>
    <w:rsid w:val="00A16F58"/>
    <w:rsid w:val="00AB16A1"/>
    <w:rsid w:val="00AE4559"/>
    <w:rsid w:val="00B72528"/>
    <w:rsid w:val="00BE3E33"/>
    <w:rsid w:val="00C47B32"/>
    <w:rsid w:val="00C51F15"/>
    <w:rsid w:val="00C715C7"/>
    <w:rsid w:val="00D40273"/>
    <w:rsid w:val="00DA0798"/>
    <w:rsid w:val="00EA209D"/>
    <w:rsid w:val="00EE4C13"/>
    <w:rsid w:val="00F21919"/>
    <w:rsid w:val="00F331BC"/>
    <w:rsid w:val="00F8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7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Деловой шапка"/>
    <w:basedOn w:val="a"/>
    <w:qFormat/>
    <w:rsid w:val="00C47B32"/>
    <w:pPr>
      <w:ind w:right="5385"/>
      <w:jc w:val="both"/>
    </w:pPr>
    <w:rPr>
      <w:sz w:val="28"/>
      <w:szCs w:val="28"/>
    </w:rPr>
  </w:style>
  <w:style w:type="paragraph" w:customStyle="1" w:styleId="a6">
    <w:name w:val="Деловой основной"/>
    <w:basedOn w:val="a"/>
    <w:qFormat/>
    <w:rsid w:val="00C47B32"/>
    <w:pPr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47B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B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32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F3CD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D8D1686C2A413FAA1D795E97D077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9F7D30-453B-42D1-8BAF-47FEB34312FE}"/>
      </w:docPartPr>
      <w:docPartBody>
        <w:p w:rsidR="00F90A2C" w:rsidRDefault="0085054E" w:rsidP="0085054E">
          <w:pPr>
            <w:pStyle w:val="E3D8D1686C2A413FAA1D795E97D077A0"/>
          </w:pPr>
          <w:r w:rsidRPr="00DF107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F703A9061344CA916B7DB72066E9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663050-6342-4D41-A8AE-15F53C33731D}"/>
      </w:docPartPr>
      <w:docPartBody>
        <w:p w:rsidR="00000000" w:rsidRDefault="0090359E" w:rsidP="0090359E">
          <w:pPr>
            <w:pStyle w:val="F2F703A9061344CA916B7DB72066E9F3"/>
          </w:pPr>
          <w:r>
            <w:t xml:space="preserve">    </w:t>
          </w:r>
        </w:p>
      </w:docPartBody>
    </w:docPart>
    <w:docPart>
      <w:docPartPr>
        <w:name w:val="031B9B30DEEF4FD6AE944564031EB8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E74FDC-9741-452A-9753-BED8DF86B78B}"/>
      </w:docPartPr>
      <w:docPartBody>
        <w:p w:rsidR="00000000" w:rsidRDefault="0090359E" w:rsidP="0090359E">
          <w:pPr>
            <w:pStyle w:val="031B9B30DEEF4FD6AE944564031EB896"/>
          </w:pPr>
          <w: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054E"/>
    <w:rsid w:val="000D0EA3"/>
    <w:rsid w:val="00462088"/>
    <w:rsid w:val="005816FF"/>
    <w:rsid w:val="005E2CD6"/>
    <w:rsid w:val="006002AD"/>
    <w:rsid w:val="00635AC5"/>
    <w:rsid w:val="007A5FFD"/>
    <w:rsid w:val="0085054E"/>
    <w:rsid w:val="008F5792"/>
    <w:rsid w:val="0090359E"/>
    <w:rsid w:val="009C146A"/>
    <w:rsid w:val="00A410D6"/>
    <w:rsid w:val="00B737A4"/>
    <w:rsid w:val="00BB57EB"/>
    <w:rsid w:val="00C4714F"/>
    <w:rsid w:val="00CD0D23"/>
    <w:rsid w:val="00F9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054E"/>
    <w:rPr>
      <w:color w:val="808080"/>
    </w:rPr>
  </w:style>
  <w:style w:type="paragraph" w:customStyle="1" w:styleId="E3D8D1686C2A413FAA1D795E97D077A0">
    <w:name w:val="E3D8D1686C2A413FAA1D795E97D077A0"/>
    <w:rsid w:val="0085054E"/>
  </w:style>
  <w:style w:type="paragraph" w:customStyle="1" w:styleId="AD5FA092E2BA4FACB646CE69D197B071">
    <w:name w:val="AD5FA092E2BA4FACB646CE69D197B071"/>
    <w:rsid w:val="0090359E"/>
  </w:style>
  <w:style w:type="paragraph" w:customStyle="1" w:styleId="AD1A67F1A40C49CE8D7CA4A2A1A36F3D">
    <w:name w:val="AD1A67F1A40C49CE8D7CA4A2A1A36F3D"/>
    <w:rsid w:val="0090359E"/>
  </w:style>
  <w:style w:type="paragraph" w:customStyle="1" w:styleId="2ACCF8D5F55A4EE29DC85657182814FA">
    <w:name w:val="2ACCF8D5F55A4EE29DC85657182814FA"/>
    <w:rsid w:val="0090359E"/>
  </w:style>
  <w:style w:type="paragraph" w:customStyle="1" w:styleId="F2F703A9061344CA916B7DB72066E9F3">
    <w:name w:val="F2F703A9061344CA916B7DB72066E9F3"/>
    <w:rsid w:val="0090359E"/>
  </w:style>
  <w:style w:type="paragraph" w:customStyle="1" w:styleId="031B9B30DEEF4FD6AE944564031EB896">
    <w:name w:val="031B9B30DEEF4FD6AE944564031EB896"/>
    <w:rsid w:val="009035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Gubaydulin</dc:creator>
  <cp:keywords/>
  <dc:description/>
  <cp:lastModifiedBy>Виритько Светлана Леонидовна</cp:lastModifiedBy>
  <cp:revision>26</cp:revision>
  <dcterms:created xsi:type="dcterms:W3CDTF">2023-12-05T02:30:00Z</dcterms:created>
  <dcterms:modified xsi:type="dcterms:W3CDTF">2024-07-01T07:07:00Z</dcterms:modified>
</cp:coreProperties>
</file>