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 xmlns:pic="http://schemas.openxmlformats.org/drawingml/2006/picture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56.69pt;height:71.15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CE4DE7" w:rsidRDefault="00A2566C" w:rsidP="00A2566C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55127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proofErr w:type="gramStart"/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>О внесении изменений в решение Думы Уссурийского городского округа от 1 октября 2012 года № 623-НПА «О системе оплаты труда работников муниципального казенного учреждения Уссурийского городского округа «Управление по делам гражданской обороны и чрезвычайным ситуациям», муниципального казенного учреждения «Административно – хозяйственное управление» администрации Уссурийского городского округа, муниципального казенного учреждения «Архив Уссурийского городского округа», муниципального казенного учреждения Уссурийского городского округа «Служба единого заказчика</w:t>
          </w:r>
          <w:proofErr w:type="gramEnd"/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 xml:space="preserve"> – застройщика», муниципального казенного учреждения «Дирекция парков и скверов» Уссурийского городского округа»</w:t>
          </w:r>
        </w:sdtContent>
      </w:sdt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dt>
      <w:sdtPr>
        <w:rPr>
          <w:rFonts w:ascii="Liberation Serif" w:hAnsi="Liberation Serif" w:cs="Liberation Serif"/>
          <w:sz w:val="28"/>
          <w:szCs w:val="28"/>
        </w:rPr>
        <w:alias w:val="Текст"/>
        <w:tag w:val="Текст"/>
        <w:id w:val="1294486563"/>
        <w:placeholder>
          <w:docPart w:val="0AABB47A618E47B3828EE569B8294491"/>
        </w:placeholder>
      </w:sdtPr>
      <w:sdtContent>
        <w:sdt>
          <w:sdtPr>
            <w:rPr>
              <w:rFonts w:ascii="Liberation Serif" w:hAnsi="Liberation Serif" w:cs="Liberation Serif"/>
              <w:sz w:val="28"/>
              <w:szCs w:val="28"/>
            </w:rPr>
            <w:alias w:val="Текст"/>
            <w:tag w:val="Текст"/>
            <w:id w:val="-584765494"/>
            <w:placeholder>
              <w:docPart w:val="73BDE804B3764B718E0ACE197619A6F3"/>
            </w:placeholder>
          </w:sdtPr>
          <w:sdtContent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В соответствии со статьей 135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</w:t>
              </w: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и Уставом Уссурийского городского округа, Дума Уссурийского городского округа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РЕШИЛА: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1. 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Внести в решение Думы Уссурийского городского округа от 1 октября 2012 года № 623-НПА «О системе оплаты труда работников муниципального казенного учреждения Уссурийского городского округа «Управление по делам гражданской обороны и чрезвычайным ситуациям», </w:t>
              </w: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lastRenderedPageBreak/>
                <w:t>муниципального казенного учреждения «Административно – хозяйственное управление» администрации Уссурийского городского округа, муниципального казенного учреждения «Архив Уссурийского городского округа», муниципального казенного учреждения Уссурийского городского округа «Служба единого заказчика – застройщика», муниципального</w:t>
              </w:r>
              <w:proofErr w:type="gramEnd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 казенного учреждения «Дирекция парков и скверов» Уссурийского городского округа», (далее – решение) следующие изменения: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в Приложении к решению: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а) в разделе 4 «Порядок и условия выплат стимулирующего характера»: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пункт 4.1. Положения  изложить в новой редакции: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«4.1. Работникам учреждения устанавливаются следующие выплаты стимулирующего характера: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выплаты за качество выполняемых работ (ежемесячно);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выплаты за интенсивность и высокие результаты работы (за квартал, год);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выплаты за выслугу лет;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повышающий коэффициент к должностному окладу; 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материальное поощрение (премирование) за счет и в пределах 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экономии средств фонда оплаты труда</w:t>
              </w:r>
              <w:proofErr w:type="gramEnd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материальное поощрение (премирование) за счет иных дотаций, поступивших из краевого бюджета и других источников, превышающее фонд оплаты труда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.»;</w:t>
              </w:r>
              <w:proofErr w:type="gramEnd"/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пункт 4.2. Положения дополнить абзацем следующего содержания: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«материальное поощрение (премирование), предусмотренное абзацем 7 пункта 4.1. настоящего Положения назначается на основании распоряжения (приказа) работодателя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.»;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proofErr w:type="gramEnd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абзац третий пункта 4.2. Положения изложить в следующей редакции: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«Размеры, порядок и условия осуществления выплат стимулирующего характера предусмотренных абзацами 1 – 6 пункта 4.1. настоящего Положения устанавливаются коллективным договором, соглашениями, </w:t>
              </w: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lastRenderedPageBreak/>
                <w:t>локальными нормативными актами в пределах фонда оплаты труда работников учреждения, формируемого в соответствии с разделом 7 Положения»;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bookmarkStart w:id="0" w:name="_GoBack"/>
              <w:bookmarkEnd w:id="0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б) в разделе 6 «Порядок оплаты труда руководителей учреждений, их заместителей и главных бухгалтеров»: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пункт 6.4. Положения  изложить в новой редакции: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«6.4. Руководителям учреждений устанавливаются следующие выплаты стимулирующего характера: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за выслугу лет к окладу при стаже работы в государственных и муниципальных организациях, органах исполнительной власти и за время военной службы в следующих размерах: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от 1 до 5 лет - 10 процентов оклада;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от 5 до 10 лет - 15 процентов оклада;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от 10 до 15 лет - 20 процентов оклада;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свыше 15 лет - 30 процентов оклада;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за качество выполняемых работ (ежемесячно);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за интенсивность и высокие результаты работы (за квартал, год);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 xml:space="preserve">материальное поощрение (премирование) за счет и в пределах 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экономии средств фонда оплаты труда</w:t>
              </w:r>
              <w:proofErr w:type="gramEnd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;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материальное поощрение (премирование) за счет иных дотаций, поступивших из краевого бюджета и других источников, превышающее фонд оплаты труда.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Размеры выплат за качество выполняемых работ не могут превышать 100 процентов оклада руководителя учреждения в месяц, выплат за интенсивность и высокие результаты работы - 200 процентов оклада руководителя учреждения в квартал.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Выплаты за качество выполняемых работ, интенсивность и высокие результаты работы руководителям учреждений устанавливаются с учетом достижения утвержденных целевых показателей деятельности учреждений.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lastRenderedPageBreak/>
                <w:t>Целевые показатели деятельности учреждений утверждаются администрацией Уссурийского городского округа</w:t>
              </w:r>
              <w:proofErr w:type="gramStart"/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.».</w:t>
              </w:r>
              <w:proofErr w:type="gramEnd"/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пункт 6.5. Положения дополнить абзацем следующего содержания: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bCs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«Материальное поощрение (премирование), предусмотренное абзацем 10 пункта 6.4. настоящего Положения назначается на основании распоряжения (приказа) работодателя.»..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2. Опубликовать настоящее решение в источнике для официального опубликования.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  <w:r w:rsidRPr="00B16B9C">
                <w:rPr>
                  <w:rFonts w:ascii="Liberation Serif" w:hAnsi="Liberation Serif" w:cs="Liberation Serif"/>
                  <w:sz w:val="28"/>
                  <w:szCs w:val="28"/>
                </w:rPr>
                <w:t>3. Настоящее Решение вступает в силу со дня официального опубликования</w:t>
              </w:r>
              <w:r w:rsidRPr="00B16B9C">
                <w:rPr>
                  <w:rFonts w:ascii="Liberation Serif" w:hAnsi="Liberation Serif" w:cs="Liberation Serif"/>
                  <w:bCs/>
                  <w:sz w:val="28"/>
                  <w:szCs w:val="28"/>
                </w:rPr>
                <w:t>.</w:t>
              </w: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  <w:tbl>
              <w:tblPr>
                <w:tblW w:w="9356" w:type="dxa"/>
                <w:tblInd w:w="108" w:type="dxa"/>
                <w:tblLook w:val="04A0" w:firstRow="1" w:lastRow="0" w:firstColumn="1" w:lastColumn="0" w:noHBand="0" w:noVBand="1"/>
              </w:tblPr>
              <w:tblGrid>
                <w:gridCol w:w="4536"/>
                <w:gridCol w:w="426"/>
                <w:gridCol w:w="4394"/>
              </w:tblGrid>
              <w:tr w:rsidR="00B16B9C" w:rsidRPr="00B16B9C" w:rsidTr="007F385E">
                <w:tc>
                  <w:tcPr>
                    <w:tcW w:w="4536" w:type="dxa"/>
                    <w:hideMark/>
                  </w:tcPr>
                  <w:p w:rsidR="00B16B9C" w:rsidRPr="00B16B9C" w:rsidRDefault="00B16B9C" w:rsidP="00B16B9C">
                    <w:pPr>
                      <w:spacing w:after="0" w:line="360" w:lineRule="auto"/>
                      <w:ind w:hanging="108"/>
                      <w:jc w:val="both"/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 w:rsidRPr="00B16B9C"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>Председатель Думы</w:t>
                    </w:r>
                  </w:p>
                  <w:p w:rsidR="00B16B9C" w:rsidRPr="00B16B9C" w:rsidRDefault="00B16B9C" w:rsidP="00B16B9C">
                    <w:pPr>
                      <w:spacing w:after="0" w:line="360" w:lineRule="auto"/>
                      <w:ind w:hanging="108"/>
                      <w:jc w:val="both"/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 w:rsidRPr="00B16B9C"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>Уссурийского городского округа</w:t>
                    </w:r>
                  </w:p>
                  <w:p w:rsidR="00B16B9C" w:rsidRPr="00B16B9C" w:rsidRDefault="00B16B9C" w:rsidP="00B16B9C">
                    <w:pPr>
                      <w:spacing w:after="0" w:line="360" w:lineRule="auto"/>
                      <w:jc w:val="both"/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 w:rsidRPr="00B16B9C"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>_________________А.Н. Черныш</w:t>
                    </w:r>
                  </w:p>
                </w:tc>
                <w:tc>
                  <w:tcPr>
                    <w:tcW w:w="426" w:type="dxa"/>
                  </w:tcPr>
                  <w:p w:rsidR="00B16B9C" w:rsidRPr="00B16B9C" w:rsidRDefault="00B16B9C" w:rsidP="00B16B9C">
                    <w:pPr>
                      <w:spacing w:after="0" w:line="360" w:lineRule="auto"/>
                      <w:ind w:firstLine="709"/>
                      <w:jc w:val="both"/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4394" w:type="dxa"/>
                  </w:tcPr>
                  <w:p w:rsidR="00B16B9C" w:rsidRPr="00B16B9C" w:rsidRDefault="00B16B9C" w:rsidP="00B16B9C">
                    <w:pPr>
                      <w:spacing w:after="0" w:line="360" w:lineRule="auto"/>
                      <w:ind w:firstLine="33"/>
                      <w:jc w:val="both"/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</w:pPr>
                    <w:r w:rsidRPr="00B16B9C"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>Глава</w:t>
                    </w:r>
                    <w:r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 xml:space="preserve"> </w:t>
                    </w:r>
                    <w:r w:rsidRPr="00B16B9C">
                      <w:rPr>
                        <w:rFonts w:ascii="Liberation Serif" w:hAnsi="Liberation Serif" w:cs="Liberation Serif"/>
                        <w:sz w:val="28"/>
                        <w:szCs w:val="28"/>
                      </w:rPr>
                      <w:t>Уссурийского городского округа  ____________________Е.Е. Корж</w:t>
                    </w:r>
                  </w:p>
                </w:tc>
              </w:tr>
            </w:tbl>
            <w:p w:rsidR="00B16B9C" w:rsidRPr="00B16B9C" w:rsidRDefault="00B16B9C" w:rsidP="00B16B9C">
              <w:pPr>
                <w:spacing w:after="0" w:line="360" w:lineRule="auto"/>
                <w:ind w:firstLine="709"/>
                <w:jc w:val="both"/>
                <w:rPr>
                  <w:rFonts w:ascii="Liberation Serif" w:hAnsi="Liberation Serif" w:cs="Liberation Serif"/>
                  <w:sz w:val="28"/>
                  <w:szCs w:val="28"/>
                </w:rPr>
              </w:pPr>
            </w:p>
          </w:sdtContent>
        </w:sdt>
      </w:sdtContent>
    </w:sdt>
    <w:p w:rsidR="00F570E6" w:rsidRDefault="00F570E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70E6" w:rsidRDefault="00E34A2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 w:clear="all"/>
      </w:r>
    </w:p>
    <w:p w:rsidR="00F570E6" w:rsidRDefault="00F570E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570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79" w:rsidRDefault="00551279">
      <w:pPr>
        <w:spacing w:after="0" w:line="240" w:lineRule="auto"/>
      </w:pPr>
      <w:r>
        <w:separator/>
      </w:r>
    </w:p>
  </w:endnote>
  <w:endnote w:type="continuationSeparator" w:id="0">
    <w:p w:rsidR="00551279" w:rsidRDefault="0055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551279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 xmlns:pic="http://schemas.openxmlformats.org/drawingml/2006/picture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79" w:rsidRDefault="00551279">
      <w:pPr>
        <w:spacing w:after="0" w:line="240" w:lineRule="auto"/>
      </w:pPr>
      <w:r>
        <w:separator/>
      </w:r>
    </w:p>
  </w:footnote>
  <w:footnote w:type="continuationSeparator" w:id="0">
    <w:p w:rsidR="00551279" w:rsidRDefault="0055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B16B9C">
      <w:rPr>
        <w:rFonts w:ascii="Liberation Serif" w:eastAsia="Liberation Serif" w:hAnsi="Liberation Serif" w:cs="Liberation Serif"/>
        <w:noProof/>
        <w:sz w:val="28"/>
        <w:szCs w:val="28"/>
      </w:rPr>
      <w:t>4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6"/>
    <w:rsid w:val="0018025D"/>
    <w:rsid w:val="003D4B2B"/>
    <w:rsid w:val="00551279"/>
    <w:rsid w:val="00A2566C"/>
    <w:rsid w:val="00B16B9C"/>
    <w:rsid w:val="00B31357"/>
    <w:rsid w:val="00CE4DE7"/>
    <w:rsid w:val="00CF17F1"/>
    <w:rsid w:val="00D17949"/>
    <w:rsid w:val="00E34A28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  <w:docPart>
      <w:docPartPr>
        <w:name w:val="0AABB47A618E47B3828EE569B8294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A2B84-1F86-41BA-97F7-986D2BEDB6CA}"/>
      </w:docPartPr>
      <w:docPartBody>
        <w:p w:rsidR="00000000" w:rsidRDefault="00EA769C" w:rsidP="00EA769C">
          <w:pPr>
            <w:pStyle w:val="0AABB47A618E47B3828EE569B8294491"/>
          </w:pPr>
          <w:r w:rsidRPr="00DF1072">
            <w:rPr>
              <w:rStyle w:val="afa"/>
            </w:rPr>
            <w:t>Место для ввода текста.</w:t>
          </w:r>
        </w:p>
      </w:docPartBody>
    </w:docPart>
    <w:docPart>
      <w:docPartPr>
        <w:name w:val="73BDE804B3764B718E0ACE197619A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0C24A-0E94-4194-8084-8BF1456569E1}"/>
      </w:docPartPr>
      <w:docPartBody>
        <w:p w:rsidR="00000000" w:rsidRDefault="00EA769C" w:rsidP="00EA769C">
          <w:pPr>
            <w:pStyle w:val="73BDE804B3764B718E0ACE197619A6F3"/>
          </w:pPr>
          <w:r w:rsidRPr="00DF1072"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34" w:rsidRDefault="00443434">
      <w:r>
        <w:separator/>
      </w:r>
    </w:p>
  </w:endnote>
  <w:endnote w:type="continuationSeparator" w:id="0">
    <w:p w:rsidR="00443434" w:rsidRDefault="0044343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34" w:rsidRDefault="00443434">
      <w:r>
        <w:separator/>
      </w:r>
    </w:p>
  </w:footnote>
  <w:footnote w:type="continuationSeparator" w:id="0">
    <w:p w:rsidR="00443434" w:rsidRDefault="0044343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064A29"/>
    <w:rsid w:val="001462E7"/>
    <w:rsid w:val="00227441"/>
    <w:rsid w:val="00443434"/>
    <w:rsid w:val="0071702F"/>
    <w:rsid w:val="00BA02EF"/>
    <w:rsid w:val="00BA6484"/>
    <w:rsid w:val="00EA769C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Placeholder Text"/>
    <w:basedOn w:val="a0"/>
    <w:uiPriority w:val="99"/>
    <w:semiHidden/>
    <w:rsid w:val="00EA769C"/>
    <w:rPr>
      <w:color w:val="808080"/>
    </w:rPr>
  </w:style>
  <w:style w:type="paragraph" w:customStyle="1" w:styleId="0AABB47A618E47B3828EE569B8294491">
    <w:name w:val="0AABB47A618E47B3828EE569B8294491"/>
    <w:rsid w:val="00EA76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3BDE804B3764B718E0ACE197619A6F3">
    <w:name w:val="73BDE804B3764B718E0ACE197619A6F3"/>
    <w:rsid w:val="00EA76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748</Words>
  <Characters>4269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Sitkin</cp:lastModifiedBy>
  <cp:revision>30</cp:revision>
  <dcterms:created xsi:type="dcterms:W3CDTF">2023-12-28T04:09:00Z</dcterms:created>
  <dcterms:modified xsi:type="dcterms:W3CDTF">2024-02-12T07:14:00Z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